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D12FA" w14:textId="7AC37FCC" w:rsidR="001D3BF6" w:rsidRPr="00A50E70" w:rsidRDefault="001D3BF6" w:rsidP="00A50E70">
      <w:pPr>
        <w:spacing w:before="120" w:after="240" w:line="320" w:lineRule="exact"/>
        <w:jc w:val="center"/>
        <w:rPr>
          <w:rFonts w:cs="Arial"/>
          <w:b/>
          <w:color w:val="auto"/>
          <w:szCs w:val="21"/>
        </w:rPr>
      </w:pPr>
      <w:r w:rsidRPr="00A50E70">
        <w:rPr>
          <w:rFonts w:cs="Arial"/>
          <w:b/>
          <w:color w:val="auto"/>
          <w:szCs w:val="21"/>
        </w:rPr>
        <w:t>ANEXO AL CUADRO RESUMEN</w:t>
      </w:r>
    </w:p>
    <w:p w14:paraId="5F8DD676" w14:textId="77777777" w:rsidR="001D3BF6" w:rsidRPr="00A50E70" w:rsidRDefault="001D3BF6" w:rsidP="00A50E70">
      <w:pPr>
        <w:spacing w:before="120" w:after="240" w:line="320" w:lineRule="exact"/>
        <w:jc w:val="center"/>
        <w:rPr>
          <w:rFonts w:cs="Arial"/>
          <w:b/>
          <w:bCs/>
          <w:color w:val="auto"/>
          <w:szCs w:val="21"/>
        </w:rPr>
      </w:pPr>
      <w:r w:rsidRPr="00A50E70">
        <w:rPr>
          <w:rFonts w:cs="Arial"/>
          <w:b/>
          <w:bCs/>
          <w:color w:val="auto"/>
          <w:szCs w:val="21"/>
        </w:rPr>
        <w:t>ACUERDO DE ENCARGADO DE TRATAMIENTO (PERSONA ADJUDICATARIA)</w:t>
      </w:r>
    </w:p>
    <w:p w14:paraId="239B8B0D" w14:textId="77777777" w:rsidR="001D3BF6" w:rsidRPr="00A50E70" w:rsidRDefault="001D3BF6" w:rsidP="00A50E70">
      <w:pPr>
        <w:spacing w:before="120" w:after="240" w:line="320" w:lineRule="exact"/>
        <w:jc w:val="center"/>
        <w:rPr>
          <w:rFonts w:cs="Arial"/>
          <w:b/>
          <w:color w:val="auto"/>
          <w:szCs w:val="21"/>
        </w:rPr>
      </w:pPr>
    </w:p>
    <w:p w14:paraId="6853D6B0" w14:textId="77777777" w:rsidR="001D3BF6" w:rsidRPr="00A50E70" w:rsidRDefault="001D3BF6" w:rsidP="00A50E70">
      <w:pPr>
        <w:pStyle w:val="Prrafodelista"/>
        <w:numPr>
          <w:ilvl w:val="0"/>
          <w:numId w:val="21"/>
        </w:numPr>
        <w:spacing w:before="120" w:after="240" w:line="320" w:lineRule="exact"/>
        <w:rPr>
          <w:b/>
          <w:color w:val="auto"/>
          <w:szCs w:val="21"/>
        </w:rPr>
      </w:pPr>
      <w:r w:rsidRPr="00A50E70">
        <w:rPr>
          <w:b/>
          <w:color w:val="auto"/>
          <w:szCs w:val="21"/>
        </w:rPr>
        <w:t>OBLIGACIONES GENERALES</w:t>
      </w:r>
    </w:p>
    <w:p w14:paraId="448EB502" w14:textId="77777777" w:rsidR="001D3BF6" w:rsidRPr="00A50E70" w:rsidRDefault="001D3BF6" w:rsidP="00A50E70">
      <w:pPr>
        <w:spacing w:before="120" w:after="240" w:line="320" w:lineRule="exact"/>
        <w:rPr>
          <w:color w:val="auto"/>
          <w:szCs w:val="21"/>
        </w:rPr>
      </w:pPr>
      <w:r w:rsidRPr="00A50E70">
        <w:rPr>
          <w:color w:val="auto"/>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1C2DCC7" w14:textId="77777777" w:rsidR="001D3BF6" w:rsidRPr="00A50E70" w:rsidRDefault="001D3BF6" w:rsidP="00A50E70">
      <w:pPr>
        <w:spacing w:before="120" w:after="240" w:line="320" w:lineRule="exact"/>
        <w:rPr>
          <w:rFonts w:cs="Arial"/>
          <w:b/>
          <w:bCs/>
          <w:color w:val="auto"/>
          <w:szCs w:val="21"/>
        </w:rPr>
      </w:pPr>
      <w:r w:rsidRPr="00A50E70">
        <w:rPr>
          <w:color w:val="auto"/>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1B9C89F9"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a) Tratar los Datos Personales conforme a las instrucciones documentadas en el presente Pliego o </w:t>
      </w:r>
      <w:proofErr w:type="gramStart"/>
      <w:r w:rsidRPr="00A50E70">
        <w:rPr>
          <w:color w:val="auto"/>
          <w:szCs w:val="21"/>
        </w:rPr>
        <w:t>demás</w:t>
      </w:r>
      <w:proofErr w:type="gramEnd"/>
      <w:r w:rsidRPr="00A50E70">
        <w:rPr>
          <w:color w:val="auto"/>
          <w:szCs w:val="21"/>
        </w:rPr>
        <w:t xml:space="preserve">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5F65DA77"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b) No utilizar ni aplicar los Datos Personales con una finalidad distinta a la ejecución del objeto del Contrato. </w:t>
      </w:r>
    </w:p>
    <w:p w14:paraId="617AEC3B"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43C58DF1" w14:textId="77777777" w:rsidR="001D3BF6" w:rsidRPr="00A50E70" w:rsidRDefault="001D3BF6" w:rsidP="00A50E70">
      <w:pPr>
        <w:spacing w:before="120" w:after="240" w:line="320" w:lineRule="exact"/>
        <w:ind w:left="709"/>
        <w:rPr>
          <w:color w:val="auto"/>
          <w:szCs w:val="21"/>
        </w:rPr>
      </w:pPr>
      <w:r w:rsidRPr="00A50E70">
        <w:rPr>
          <w:color w:val="auto"/>
          <w:szCs w:val="21"/>
        </w:rPr>
        <w:t>En particular, y sin carácter limitativo, se obliga a aplicar las medidas de protección del nivel de riesgo y seguridad detallados en el apartado 2 de este documento.</w:t>
      </w:r>
    </w:p>
    <w:p w14:paraId="0CE32FB8" w14:textId="693B3CD9" w:rsidR="001D3BF6" w:rsidRPr="00A50E70" w:rsidRDefault="001D3BF6" w:rsidP="00A50E70">
      <w:pPr>
        <w:spacing w:before="120" w:after="240" w:line="320" w:lineRule="exact"/>
        <w:ind w:left="709"/>
        <w:rPr>
          <w:color w:val="auto"/>
          <w:szCs w:val="21"/>
        </w:rPr>
      </w:pPr>
      <w:r w:rsidRPr="00A50E70">
        <w:rPr>
          <w:color w:val="auto"/>
          <w:szCs w:val="21"/>
        </w:rPr>
        <w:t>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w:t>
      </w:r>
      <w:r w:rsidR="00793DEE" w:rsidRPr="00A50E70">
        <w:rPr>
          <w:color w:val="auto"/>
          <w:szCs w:val="21"/>
        </w:rPr>
        <w:t xml:space="preserve">ún después de la terminación del contrato </w:t>
      </w:r>
      <w:r w:rsidRPr="00A50E70">
        <w:rPr>
          <w:color w:val="auto"/>
          <w:szCs w:val="21"/>
        </w:rPr>
        <w:t xml:space="preserve">o de su desvinculación. </w:t>
      </w:r>
    </w:p>
    <w:p w14:paraId="02AA5F2B" w14:textId="77777777" w:rsidR="001D3BF6" w:rsidRPr="00A50E70" w:rsidRDefault="001D3BF6" w:rsidP="00A50E70">
      <w:pPr>
        <w:spacing w:before="120" w:after="240" w:line="320" w:lineRule="exact"/>
        <w:ind w:left="709"/>
        <w:rPr>
          <w:color w:val="auto"/>
          <w:szCs w:val="21"/>
        </w:rPr>
      </w:pPr>
      <w:r w:rsidRPr="00A50E70">
        <w:rPr>
          <w:color w:val="auto"/>
          <w:szCs w:val="21"/>
        </w:rPr>
        <w:lastRenderedPageBreak/>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5D11A65F"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f) Garantizar la formación necesaria en materia de protección de Datos Personales de las personas autorizadas a su tratamiento. </w:t>
      </w:r>
    </w:p>
    <w:p w14:paraId="09287BBC"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g) Salvo que cuente en cada caso con la autorización expresa del Responsable del Tratamiento, no comunicar (ceder) ni difundir los Datos Personales a terceros, ni siquiera para su conservación. </w:t>
      </w:r>
    </w:p>
    <w:p w14:paraId="711F9105"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630B4FB8"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43FE3D0E"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j) Según corresponda y se indique el apartado 2 de este documento, a llevar a cabo el tratamiento de los Datos Personales en los sistemas/dispositivos de tratamiento, manuales y automatizados, y en las ubicaciones que en el citado Anexo se especifican, equipamiento que podrá estar bajo el control del SAS o bajo el control directo o indirecto de la persona adjudicataria, u otros que hayan sido expresamente autorizados por escrito por el SAS, según se establezca en dicho Anexo en su caso, y únicamente por los usuarios o perfiles de usuarios asignados a la ejecución del objeto de este Pliego. </w:t>
      </w:r>
    </w:p>
    <w:p w14:paraId="0B791B8E"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k) Salvo que se indique otra cosa en el apartado 2 de este documento o se instruya así expresamente por el SAS, a tratar los Datos Personales dentro del Espacio Económico Europeo u otro espacio considerado por la normativa aplicable como de seguridad equivalente, no tratándolos fuera de este espacio ni directamente ni a través de cualesquiera subcontratistas autorizados conforme a lo establecido en este Pliego o demás documentos contractuales, salvo que esté obligado a ello en virtud del Derecho de la Unión o del Estado miembro que le resulte de aplicación. </w:t>
      </w:r>
    </w:p>
    <w:p w14:paraId="4022C56B" w14:textId="77777777" w:rsidR="001D3BF6" w:rsidRPr="00A50E70" w:rsidRDefault="001D3BF6" w:rsidP="00A50E70">
      <w:pPr>
        <w:spacing w:before="120" w:after="240" w:line="320" w:lineRule="exact"/>
        <w:ind w:left="709"/>
        <w:rPr>
          <w:color w:val="auto"/>
          <w:szCs w:val="21"/>
        </w:rPr>
      </w:pPr>
      <w:r w:rsidRPr="00A50E70">
        <w:rPr>
          <w:color w:val="auto"/>
          <w:szCs w:val="21"/>
        </w:rPr>
        <w:lastRenderedPageBreak/>
        <w:t xml:space="preserve">En el caso de que por causa de Derecho nacional o de la Unión Europea la persona adjudicataria se vea obligada a llevar a cabo alguna transferencia internacional de datos, la persona adjudicataria informará por escrito al SAS de esa exigencia legal, con antelación suficiente a efectuar el tratamiento, y garantizará el cumplimiento de cualesquiera requisitos legales que sean aplicables al SAS, salvo que el Derecho aplicable lo prohíba por razones importantes de interés público. </w:t>
      </w:r>
    </w:p>
    <w:p w14:paraId="10FC6181"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l) De conformidad con el artículo 33 RGPD, comunicar al SAS, de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3D355E37"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436C4157"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La persona adjudicataria asistirá al SAS, siempre que sea posible, para que ésta pueda cumplir y dar respuesta a los ejercicios de Derechos. </w:t>
      </w:r>
    </w:p>
    <w:p w14:paraId="2B138CE2"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n) Colaborar con el SAS en el cumplimiento de sus obligaciones en materia de (i) medidas de seguridad, (ii) comunicación y/o notificación de brechas (logradas e intentadas) de medidas de 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2810919F" w14:textId="77777777" w:rsidR="001D3BF6" w:rsidRPr="00A50E70" w:rsidRDefault="001D3BF6" w:rsidP="00A50E70">
      <w:pPr>
        <w:spacing w:before="120" w:after="240" w:line="320" w:lineRule="exact"/>
        <w:ind w:left="709"/>
        <w:rPr>
          <w:color w:val="auto"/>
          <w:szCs w:val="21"/>
        </w:rPr>
      </w:pPr>
      <w:r w:rsidRPr="00A50E70">
        <w:rPr>
          <w:color w:val="auto"/>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1EAF3A3C"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4359CF7C"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6779B105" w14:textId="77777777" w:rsidR="001D3BF6" w:rsidRPr="00A50E70" w:rsidRDefault="001D3BF6" w:rsidP="00A50E70">
      <w:pPr>
        <w:spacing w:before="120" w:after="240" w:line="320" w:lineRule="exact"/>
        <w:ind w:left="709"/>
        <w:rPr>
          <w:color w:val="auto"/>
          <w:szCs w:val="21"/>
        </w:rPr>
      </w:pPr>
      <w:r w:rsidRPr="00A50E70">
        <w:rPr>
          <w:color w:val="auto"/>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1BC5CD05" w14:textId="77777777" w:rsidR="001D3BF6" w:rsidRPr="00A50E70" w:rsidRDefault="001D3BF6" w:rsidP="00A50E70">
      <w:pPr>
        <w:pStyle w:val="Prrafodelista"/>
        <w:numPr>
          <w:ilvl w:val="0"/>
          <w:numId w:val="21"/>
        </w:numPr>
        <w:spacing w:before="120" w:after="240" w:line="320" w:lineRule="exact"/>
        <w:jc w:val="left"/>
        <w:rPr>
          <w:rFonts w:cs="Arial"/>
          <w:b/>
          <w:color w:val="auto"/>
          <w:szCs w:val="21"/>
        </w:rPr>
      </w:pPr>
      <w:r w:rsidRPr="00A50E70">
        <w:rPr>
          <w:rFonts w:cs="Arial"/>
          <w:b/>
          <w:bCs/>
          <w:color w:val="auto"/>
          <w:szCs w:val="21"/>
        </w:rPr>
        <w:t>TRATAMIENTO DE DATOS PERSONALES</w:t>
      </w:r>
    </w:p>
    <w:p w14:paraId="3B8DBE8F" w14:textId="77777777" w:rsidR="001D3BF6" w:rsidRPr="00A50E70" w:rsidRDefault="001D3BF6" w:rsidP="00A50E70">
      <w:pPr>
        <w:spacing w:before="120" w:after="240" w:line="320" w:lineRule="exact"/>
        <w:rPr>
          <w:rFonts w:cs="Arial"/>
          <w:color w:val="auto"/>
          <w:szCs w:val="21"/>
        </w:rPr>
      </w:pPr>
      <w:r w:rsidRPr="00A50E70">
        <w:rPr>
          <w:rFonts w:cs="Arial"/>
          <w:b/>
          <w:bCs/>
          <w:color w:val="auto"/>
          <w:szCs w:val="21"/>
        </w:rPr>
        <w:t>A) Descripción general del tratamiento de Datos Personales a efectuar</w:t>
      </w:r>
      <w:hyperlink w:anchor="sdfootnote1sym" w:history="1">
        <w:r w:rsidRPr="00A50E70">
          <w:rPr>
            <w:rFonts w:cs="Arial"/>
            <w:b/>
            <w:bCs/>
            <w:color w:val="auto"/>
            <w:szCs w:val="21"/>
            <w:u w:val="single"/>
            <w:vertAlign w:val="superscript"/>
          </w:rPr>
          <w:t>1</w:t>
        </w:r>
      </w:hyperlink>
    </w:p>
    <w:p w14:paraId="2E8E6DD6" w14:textId="2BD30D4C" w:rsidR="001F20BC" w:rsidRPr="00A50E70" w:rsidRDefault="001D3BF6" w:rsidP="00A50E70">
      <w:pPr>
        <w:spacing w:before="120" w:after="240" w:line="320" w:lineRule="exact"/>
        <w:rPr>
          <w:rFonts w:cs="Arial"/>
          <w:color w:val="auto"/>
        </w:rPr>
      </w:pPr>
      <w:r w:rsidRPr="00A50E70">
        <w:rPr>
          <w:rFonts w:cs="Arial"/>
          <w:color w:val="auto"/>
          <w:szCs w:val="21"/>
        </w:rPr>
        <w:t>El tratamiento consistirá en</w:t>
      </w:r>
      <w:r w:rsidR="001F20BC" w:rsidRPr="00A50E70">
        <w:rPr>
          <w:rFonts w:cs="Arial"/>
          <w:color w:val="auto"/>
          <w:szCs w:val="21"/>
        </w:rPr>
        <w:t xml:space="preserve"> la administración de las bases de datos de los sistemas de cómputo locales</w:t>
      </w:r>
      <w:r w:rsidRPr="00A50E70">
        <w:rPr>
          <w:rFonts w:cs="Arial"/>
          <w:color w:val="auto"/>
          <w:szCs w:val="21"/>
        </w:rPr>
        <w:t>. Especificar de acuerdo con el artículo 28.3 RGPD naturaleza, finalidad, objeto del tratamiento:</w:t>
      </w:r>
      <w:r w:rsidR="001F20BC" w:rsidRPr="00A50E70">
        <w:rPr>
          <w:rFonts w:cs="Arial"/>
          <w:color w:val="auto"/>
        </w:rPr>
        <w:t xml:space="preserve"> el personal adscrito por la persona adjudicataria, para proporcionar las prestaciones establecidas en los pliegos, puede tratar datos personales: alta, modificación y supresión. Los datos personales se tratarán únicamente por el personal adscrito y al único fin de efectuar el alcance contratado.</w:t>
      </w:r>
      <w:r w:rsidR="001F20BC" w:rsidRPr="00A50E70">
        <w:rPr>
          <w:rFonts w:eastAsia="Source Sans Pro" w:cs="Source Sans Pro"/>
          <w:color w:val="auto"/>
          <w:szCs w:val="21"/>
        </w:rPr>
        <w:t xml:space="preserve"> Los datos de carácter personal se conservarán durante el tiempo necesario para cumplir con la finalidad para la que se recabaron y para determinar las posibles responsabilidades que se pudieran derivar de dicha finalidad y del tratamiento de los datos, conforme a los términos expresados en el artículo 28 del RGPD.</w:t>
      </w:r>
    </w:p>
    <w:p w14:paraId="47D45342" w14:textId="5289DD62" w:rsidR="001D3BF6" w:rsidRDefault="001F20BC" w:rsidP="00A50E70">
      <w:pPr>
        <w:spacing w:line="320" w:lineRule="exact"/>
        <w:rPr>
          <w:rFonts w:eastAsia="Source Sans Pro" w:cs="Source Sans Pro"/>
          <w:color w:val="auto"/>
          <w:szCs w:val="21"/>
        </w:rPr>
      </w:pPr>
      <w:r w:rsidRPr="00A50E70">
        <w:rPr>
          <w:rFonts w:eastAsia="Source Sans Pro" w:cs="Source Sans Pro"/>
          <w:color w:val="auto"/>
          <w:szCs w:val="21"/>
        </w:rPr>
        <w:t>Los derechos de acceso, rectificación, supresión y portabilidad de sus datos, de limitación y oposición a su tratamiento, así como a no ser objeto de decisiones basadas únicamente en el tratamiento automatizado de sus datos, cuando procedan, se pueden ejercitar ante el Servicio Andaluz de Salud, Av. de la Constitución, nº 18, 41071 - Sevilla o por internet a través de la presentación electrónica de solicitud de ejercicio de los derechos relativos a la protección de datos personales de la Junta de Andalucía.</w:t>
      </w:r>
    </w:p>
    <w:p w14:paraId="20596F5A" w14:textId="77777777" w:rsidR="001D3BF6" w:rsidRPr="00A50E70" w:rsidRDefault="001D3BF6" w:rsidP="00A50E70">
      <w:pPr>
        <w:spacing w:before="120" w:after="240" w:line="320" w:lineRule="exact"/>
        <w:rPr>
          <w:rFonts w:cs="Arial"/>
          <w:color w:val="auto"/>
          <w:szCs w:val="21"/>
        </w:rPr>
      </w:pPr>
      <w:r w:rsidRPr="00A50E70">
        <w:rPr>
          <w:rFonts w:cs="Arial"/>
          <w:b/>
          <w:bCs/>
          <w:i/>
          <w:iCs/>
          <w:color w:val="auto"/>
          <w:szCs w:val="21"/>
        </w:rPr>
        <w:t>B) Colectivos y Datos Tratados</w:t>
      </w:r>
    </w:p>
    <w:p w14:paraId="147D6530" w14:textId="1E6FEBD6" w:rsidR="001D3BF6" w:rsidRPr="00A50E70" w:rsidRDefault="001D3BF6" w:rsidP="00A50E70">
      <w:pPr>
        <w:spacing w:before="120" w:after="240" w:line="320" w:lineRule="exact"/>
        <w:rPr>
          <w:color w:val="auto"/>
          <w:szCs w:val="21"/>
        </w:rPr>
      </w:pPr>
      <w:r w:rsidRPr="00A50E70">
        <w:rPr>
          <w:rFonts w:cs="Arial"/>
          <w:color w:val="auto"/>
          <w:szCs w:val="21"/>
        </w:rPr>
        <w:t xml:space="preserve">Los colectivos de interesados y Datos Personales tratados a las que puede tener acceso </w:t>
      </w:r>
      <w:r w:rsidRPr="00A50E70">
        <w:rPr>
          <w:color w:val="auto"/>
          <w:szCs w:val="21"/>
        </w:rPr>
        <w:t xml:space="preserve">la persona adjudicataria </w:t>
      </w:r>
      <w:r w:rsidRPr="00A50E70">
        <w:rPr>
          <w:rFonts w:cs="Arial"/>
          <w:color w:val="auto"/>
          <w:szCs w:val="21"/>
        </w:rPr>
        <w:t xml:space="preserve">son: </w:t>
      </w:r>
    </w:p>
    <w:tbl>
      <w:tblPr>
        <w:tblW w:w="561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173"/>
        <w:gridCol w:w="2268"/>
        <w:gridCol w:w="2457"/>
        <w:gridCol w:w="3711"/>
      </w:tblGrid>
      <w:tr w:rsidR="00A50E70" w:rsidRPr="00A50E70" w14:paraId="1C225224"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299F8C40" w14:textId="7EFAD35E" w:rsidR="001D3BF6" w:rsidRPr="00A50E70" w:rsidRDefault="001D3BF6" w:rsidP="00A50E70">
            <w:pPr>
              <w:spacing w:before="120" w:after="240" w:line="320" w:lineRule="exact"/>
              <w:jc w:val="center"/>
              <w:rPr>
                <w:color w:val="auto"/>
                <w:szCs w:val="21"/>
              </w:rPr>
            </w:pPr>
            <w:r w:rsidRPr="00A50E70">
              <w:rPr>
                <w:b/>
                <w:bCs/>
                <w:color w:val="auto"/>
                <w:szCs w:val="21"/>
              </w:rPr>
              <w:t xml:space="preserve">Tratamientos </w:t>
            </w:r>
            <w:r w:rsidR="003F4681" w:rsidRPr="00A50E70">
              <w:rPr>
                <w:b/>
                <w:bCs/>
                <w:color w:val="auto"/>
                <w:szCs w:val="21"/>
              </w:rPr>
              <w:t>de datos</w:t>
            </w:r>
            <w:r w:rsidRPr="00A50E70">
              <w:rPr>
                <w:b/>
                <w:bCs/>
                <w:color w:val="auto"/>
                <w:szCs w:val="21"/>
              </w:rPr>
              <w:t xml:space="preserve">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68D4345C" w14:textId="77777777" w:rsidR="001D3BF6" w:rsidRPr="00A50E70" w:rsidRDefault="001D3BF6" w:rsidP="00A50E70">
            <w:pPr>
              <w:spacing w:before="120" w:after="240" w:line="320" w:lineRule="exact"/>
              <w:jc w:val="center"/>
              <w:rPr>
                <w:color w:val="auto"/>
                <w:szCs w:val="21"/>
              </w:rPr>
            </w:pPr>
            <w:r w:rsidRPr="00A50E70">
              <w:rPr>
                <w:b/>
                <w:bCs/>
                <w:color w:val="auto"/>
                <w:szCs w:val="21"/>
              </w:rPr>
              <w:t xml:space="preserve">Principales colectivos de interesados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2FE9A7B5" w14:textId="77777777" w:rsidR="001D3BF6" w:rsidRPr="00A50E70" w:rsidRDefault="001D3BF6" w:rsidP="00A50E70">
            <w:pPr>
              <w:spacing w:before="120" w:after="240" w:line="320" w:lineRule="exact"/>
              <w:jc w:val="center"/>
              <w:rPr>
                <w:color w:val="auto"/>
                <w:szCs w:val="21"/>
              </w:rPr>
            </w:pPr>
            <w:r w:rsidRPr="00A50E70">
              <w:rPr>
                <w:b/>
                <w:bCs/>
                <w:color w:val="auto"/>
                <w:szCs w:val="21"/>
              </w:rPr>
              <w:t xml:space="preserve">Datos Personales del tratamiento a los que se puede acceder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31D38F04" w14:textId="77777777" w:rsidR="001D3BF6" w:rsidRPr="00A50E70" w:rsidRDefault="001D3BF6" w:rsidP="00A50E70">
            <w:pPr>
              <w:spacing w:before="120" w:after="240" w:line="320" w:lineRule="exact"/>
              <w:jc w:val="center"/>
              <w:rPr>
                <w:color w:val="auto"/>
                <w:szCs w:val="21"/>
              </w:rPr>
            </w:pPr>
            <w:r w:rsidRPr="00A50E70">
              <w:rPr>
                <w:b/>
                <w:bCs/>
                <w:color w:val="auto"/>
                <w:szCs w:val="21"/>
              </w:rPr>
              <w:t>Ubicación y control</w:t>
            </w:r>
          </w:p>
        </w:tc>
      </w:tr>
      <w:tr w:rsidR="00A50E70" w:rsidRPr="00A50E70" w14:paraId="1FB853DF"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6BB5DFB4" w14:textId="774719C7" w:rsidR="001D3BF6" w:rsidRPr="00A50E70" w:rsidRDefault="001D3BF6" w:rsidP="00A50E70">
            <w:pPr>
              <w:spacing w:before="120" w:after="240" w:line="320" w:lineRule="exact"/>
              <w:rPr>
                <w:color w:val="auto"/>
                <w:szCs w:val="21"/>
              </w:rPr>
            </w:pPr>
            <w:r w:rsidRPr="00A50E70">
              <w:rPr>
                <w:color w:val="auto"/>
                <w:szCs w:val="21"/>
              </w:rPr>
              <w:t xml:space="preserve">Tratamiento </w:t>
            </w:r>
            <w:r w:rsidR="003F4681" w:rsidRPr="00A50E70">
              <w:rPr>
                <w:color w:val="auto"/>
                <w:szCs w:val="21"/>
              </w:rPr>
              <w:t xml:space="preserve">de datos de carácter personal de pacientes y de </w:t>
            </w:r>
            <w:r w:rsidR="00EF3E0A" w:rsidRPr="00A50E70">
              <w:rPr>
                <w:color w:val="auto"/>
                <w:szCs w:val="21"/>
              </w:rPr>
              <w:t>profesionales del Servicio Andaluz de Salud</w:t>
            </w:r>
            <w:r w:rsidR="003F4681" w:rsidRPr="00A50E70">
              <w:rPr>
                <w:color w:val="auto"/>
                <w:szCs w:val="21"/>
              </w:rPr>
              <w:t xml:space="preserve">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1F648C86" w14:textId="11AA28AA" w:rsidR="001D3BF6" w:rsidRPr="00A50E70" w:rsidRDefault="00EF3E0A" w:rsidP="00A50E70">
            <w:pPr>
              <w:spacing w:before="120" w:after="240" w:line="320" w:lineRule="exact"/>
              <w:rPr>
                <w:color w:val="auto"/>
                <w:szCs w:val="21"/>
              </w:rPr>
            </w:pPr>
            <w:r w:rsidRPr="00A50E70">
              <w:rPr>
                <w:color w:val="auto"/>
                <w:szCs w:val="21"/>
              </w:rPr>
              <w:t xml:space="preserve">Datos de profesionales, proveedores, empresas, </w:t>
            </w:r>
            <w:r w:rsidRPr="00A50E70">
              <w:rPr>
                <w:color w:val="auto"/>
              </w:rPr>
              <w:t>ciudadanía, personal empleado público</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F6FB0AA" w14:textId="357D28DB" w:rsidR="001D3BF6" w:rsidRPr="00A50E70" w:rsidRDefault="001D3BF6" w:rsidP="00A50E70">
            <w:pPr>
              <w:spacing w:before="120" w:after="240" w:line="320" w:lineRule="exact"/>
              <w:jc w:val="left"/>
              <w:rPr>
                <w:color w:val="auto"/>
                <w:szCs w:val="21"/>
              </w:rPr>
            </w:pPr>
            <w:r w:rsidRPr="00A50E70">
              <w:rPr>
                <w:color w:val="auto"/>
                <w:szCs w:val="21"/>
              </w:rPr>
              <w:t>D.N.I., nombre y apellidos, dirección, teléfono, correo electrónico, firma, nacionalidad, fecha nacimiento, características personales, económicos</w:t>
            </w:r>
            <w:r w:rsidR="00EF3E0A" w:rsidRPr="00A50E70">
              <w:rPr>
                <w:color w:val="auto"/>
                <w:szCs w:val="21"/>
              </w:rPr>
              <w:t>, datos del puesto de trabajo</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0F5DE21E" w14:textId="78190C8E" w:rsidR="001D3BF6" w:rsidRPr="00A50E70" w:rsidRDefault="003F4681" w:rsidP="00A50E70">
            <w:pPr>
              <w:spacing w:before="120" w:after="240" w:line="320" w:lineRule="exact"/>
              <w:rPr>
                <w:color w:val="auto"/>
                <w:szCs w:val="21"/>
              </w:rPr>
            </w:pPr>
            <w:r w:rsidRPr="00A50E70">
              <w:rPr>
                <w:rFonts w:eastAsia="Source Sans Pro" w:cs="Source Sans Pro"/>
                <w:color w:val="auto"/>
                <w:szCs w:val="21"/>
              </w:rPr>
              <w:t>Todas las actividades de tratamiento de datos personales se llevarán a cabo en sistemas, dispositivos y ubicaciones titularidad del responsable del tratamiento y bajo su control</w:t>
            </w:r>
          </w:p>
        </w:tc>
      </w:tr>
    </w:tbl>
    <w:p w14:paraId="6DCB164F" w14:textId="77777777" w:rsidR="001D3BF6" w:rsidRPr="00A50E70" w:rsidRDefault="001D3BF6" w:rsidP="00A50E70">
      <w:pPr>
        <w:spacing w:before="120" w:after="240" w:line="320" w:lineRule="exact"/>
        <w:rPr>
          <w:rFonts w:cs="Arial"/>
          <w:color w:val="auto"/>
          <w:szCs w:val="21"/>
        </w:rPr>
      </w:pPr>
      <w:r w:rsidRPr="00A50E70">
        <w:rPr>
          <w:rFonts w:cs="Arial"/>
          <w:b/>
          <w:bCs/>
          <w:i/>
          <w:iCs/>
          <w:color w:val="auto"/>
          <w:szCs w:val="21"/>
        </w:rPr>
        <w:t>C) Elementos del tratamiento</w:t>
      </w:r>
    </w:p>
    <w:p w14:paraId="7DD95922" w14:textId="163D57C1" w:rsidR="00A50E70" w:rsidRPr="00A50E70" w:rsidRDefault="001D3BF6" w:rsidP="00A50E70">
      <w:pPr>
        <w:spacing w:before="120" w:after="240" w:line="320" w:lineRule="exact"/>
        <w:rPr>
          <w:rFonts w:cs="Arial"/>
          <w:color w:val="auto"/>
          <w:szCs w:val="21"/>
        </w:rPr>
      </w:pPr>
      <w:r w:rsidRPr="00A50E70">
        <w:rPr>
          <w:rFonts w:cs="Arial"/>
          <w:color w:val="auto"/>
          <w:szCs w:val="21"/>
        </w:rPr>
        <w:t>El tratamiento de los Datos Personales comprenderá: (márquese lo que proceda):</w:t>
      </w:r>
    </w:p>
    <w:p w14:paraId="2D1C3CBD" w14:textId="77777777" w:rsidR="001D3BF6" w:rsidRPr="00A50E70" w:rsidRDefault="001D3BF6" w:rsidP="00A50E70">
      <w:pPr>
        <w:pBdr>
          <w:bottom w:val="single" w:sz="6" w:space="1" w:color="auto"/>
        </w:pBdr>
        <w:spacing w:before="120" w:after="240" w:line="320" w:lineRule="exact"/>
        <w:rPr>
          <w:rFonts w:cs="Arial"/>
          <w:vanish/>
          <w:color w:val="auto"/>
          <w:szCs w:val="21"/>
        </w:rPr>
      </w:pPr>
      <w:r w:rsidRPr="00A50E70">
        <w:rPr>
          <w:rFonts w:cs="Arial"/>
          <w:vanish/>
          <w:color w:val="auto"/>
          <w:szCs w:val="21"/>
        </w:rPr>
        <w:t>Principio del formulario</w:t>
      </w:r>
    </w:p>
    <w:p w14:paraId="2F52E1A6" w14:textId="77777777" w:rsidR="001D3BF6" w:rsidRPr="00A50E70" w:rsidRDefault="001D3BF6" w:rsidP="00A50E70">
      <w:pPr>
        <w:pBdr>
          <w:bottom w:val="single" w:sz="6" w:space="1" w:color="auto"/>
        </w:pBdr>
        <w:spacing w:before="120" w:after="240" w:line="320" w:lineRule="exact"/>
        <w:rPr>
          <w:rFonts w:cs="Arial"/>
          <w:vanish/>
          <w:color w:val="auto"/>
          <w:szCs w:val="21"/>
        </w:rPr>
      </w:pPr>
    </w:p>
    <w:tbl>
      <w:tblPr>
        <w:tblW w:w="9714"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14"/>
        <w:gridCol w:w="3439"/>
        <w:gridCol w:w="3561"/>
      </w:tblGrid>
      <w:tr w:rsidR="00A50E70" w:rsidRPr="00A50E70" w14:paraId="0F6C17A8"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19A75F9E" w14:textId="11A8D868"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5983AD5C">
                <v:shape id="_x0000_i1067" type="#_x0000_t75" style="width:20.25pt;height:18pt" o:ole="">
                  <v:imagedata r:id="rId8" o:title=""/>
                </v:shape>
                <w:control r:id="rId9" w:name="DefaultOcxName20" w:shapeid="_x0000_i1067"/>
              </w:object>
            </w:r>
            <w:r w:rsidRPr="00A50E70">
              <w:rPr>
                <w:rFonts w:cs="Arial"/>
                <w:color w:val="auto"/>
                <w:szCs w:val="21"/>
              </w:rPr>
              <w:t xml:space="preserve">Recogida (captura de datos) </w:t>
            </w:r>
          </w:p>
        </w:tc>
        <w:tc>
          <w:tcPr>
            <w:tcW w:w="3439" w:type="dxa"/>
            <w:tcBorders>
              <w:top w:val="outset" w:sz="6" w:space="0" w:color="000000"/>
              <w:left w:val="outset" w:sz="6" w:space="0" w:color="000000"/>
              <w:bottom w:val="outset" w:sz="6" w:space="0" w:color="000000"/>
              <w:right w:val="outset" w:sz="6" w:space="0" w:color="000000"/>
            </w:tcBorders>
            <w:hideMark/>
          </w:tcPr>
          <w:p w14:paraId="450C00B9" w14:textId="172A7CBF"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2B9E9391">
                <v:shape id="_x0000_i1070" type="#_x0000_t75" style="width:20.25pt;height:18pt" o:ole="">
                  <v:imagedata r:id="rId8" o:title=""/>
                </v:shape>
                <w:control r:id="rId10" w:name="DefaultOcxName110" w:shapeid="_x0000_i1070"/>
              </w:object>
            </w:r>
            <w:r w:rsidRPr="00A50E70">
              <w:rPr>
                <w:rFonts w:cs="Arial"/>
                <w:color w:val="auto"/>
                <w:szCs w:val="21"/>
              </w:rPr>
              <w:t xml:space="preserve">Registro (grabación </w:t>
            </w:r>
          </w:p>
        </w:tc>
        <w:tc>
          <w:tcPr>
            <w:tcW w:w="3561" w:type="dxa"/>
            <w:tcBorders>
              <w:top w:val="outset" w:sz="6" w:space="0" w:color="000000"/>
              <w:left w:val="outset" w:sz="6" w:space="0" w:color="000000"/>
              <w:bottom w:val="outset" w:sz="6" w:space="0" w:color="000000"/>
              <w:right w:val="outset" w:sz="6" w:space="0" w:color="000000"/>
            </w:tcBorders>
            <w:hideMark/>
          </w:tcPr>
          <w:p w14:paraId="78848841" w14:textId="20F1C56C"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7D8FDFCA">
                <v:shape id="_x0000_i1073" type="#_x0000_t75" style="width:20.25pt;height:18pt" o:ole="">
                  <v:imagedata r:id="rId11" o:title=""/>
                </v:shape>
                <w:control r:id="rId12" w:name="DefaultOcxName21" w:shapeid="_x0000_i1073"/>
              </w:object>
            </w:r>
            <w:r w:rsidRPr="00A50E70">
              <w:rPr>
                <w:rFonts w:cs="Arial"/>
                <w:color w:val="auto"/>
                <w:szCs w:val="21"/>
              </w:rPr>
              <w:t xml:space="preserve">Estructuración </w:t>
            </w:r>
          </w:p>
        </w:tc>
      </w:tr>
      <w:tr w:rsidR="00A50E70" w:rsidRPr="00A50E70" w14:paraId="174FE4F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0D44D31" w14:textId="445291F5"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1389387B">
                <v:shape id="_x0000_i1076" type="#_x0000_t75" style="width:20.25pt;height:18pt" o:ole="">
                  <v:imagedata r:id="rId8" o:title=""/>
                </v:shape>
                <w:control r:id="rId13" w:name="DefaultOcxName31" w:shapeid="_x0000_i1076"/>
              </w:object>
            </w:r>
            <w:r w:rsidRPr="00A50E70">
              <w:rPr>
                <w:rFonts w:cs="Arial"/>
                <w:color w:val="auto"/>
                <w:szCs w:val="21"/>
              </w:rPr>
              <w:t xml:space="preserve">Modificación </w:t>
            </w:r>
          </w:p>
        </w:tc>
        <w:tc>
          <w:tcPr>
            <w:tcW w:w="3439" w:type="dxa"/>
            <w:tcBorders>
              <w:top w:val="outset" w:sz="6" w:space="0" w:color="000000"/>
              <w:left w:val="outset" w:sz="6" w:space="0" w:color="000000"/>
              <w:bottom w:val="outset" w:sz="6" w:space="0" w:color="000000"/>
              <w:right w:val="outset" w:sz="6" w:space="0" w:color="000000"/>
            </w:tcBorders>
            <w:hideMark/>
          </w:tcPr>
          <w:p w14:paraId="2BA21D61" w14:textId="25FDA945"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12486FF9">
                <v:shape id="_x0000_i1079" type="#_x0000_t75" style="width:20.25pt;height:18pt" o:ole="">
                  <v:imagedata r:id="rId8" o:title=""/>
                </v:shape>
                <w:control r:id="rId14" w:name="DefaultOcxName41" w:shapeid="_x0000_i1079"/>
              </w:object>
            </w:r>
            <w:r w:rsidRPr="00A50E70">
              <w:rPr>
                <w:rFonts w:cs="Arial"/>
                <w:color w:val="auto"/>
                <w:szCs w:val="21"/>
              </w:rPr>
              <w:t xml:space="preserve">Conservación (almacenamiento) </w:t>
            </w:r>
          </w:p>
        </w:tc>
        <w:tc>
          <w:tcPr>
            <w:tcW w:w="3561" w:type="dxa"/>
            <w:tcBorders>
              <w:top w:val="outset" w:sz="6" w:space="0" w:color="000000"/>
              <w:left w:val="outset" w:sz="6" w:space="0" w:color="000000"/>
              <w:bottom w:val="outset" w:sz="6" w:space="0" w:color="000000"/>
              <w:right w:val="outset" w:sz="6" w:space="0" w:color="000000"/>
            </w:tcBorders>
            <w:hideMark/>
          </w:tcPr>
          <w:p w14:paraId="054DDE25" w14:textId="64D5C686"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7FFC5A27">
                <v:shape id="_x0000_i1082" type="#_x0000_t75" style="width:20.25pt;height:18pt" o:ole="">
                  <v:imagedata r:id="rId8" o:title=""/>
                </v:shape>
                <w:control r:id="rId15" w:name="DefaultOcxName51" w:shapeid="_x0000_i1082"/>
              </w:object>
            </w:r>
            <w:r w:rsidRPr="00A50E70">
              <w:rPr>
                <w:rFonts w:cs="Arial"/>
                <w:color w:val="auto"/>
                <w:szCs w:val="21"/>
              </w:rPr>
              <w:t>Extracción (</w:t>
            </w:r>
            <w:proofErr w:type="spellStart"/>
            <w:r w:rsidRPr="00A50E70">
              <w:rPr>
                <w:rFonts w:cs="Arial"/>
                <w:color w:val="auto"/>
                <w:szCs w:val="21"/>
              </w:rPr>
              <w:t>retrieval</w:t>
            </w:r>
            <w:proofErr w:type="spellEnd"/>
            <w:r w:rsidRPr="00A50E70">
              <w:rPr>
                <w:rFonts w:cs="Arial"/>
                <w:color w:val="auto"/>
                <w:szCs w:val="21"/>
              </w:rPr>
              <w:t xml:space="preserve">) </w:t>
            </w:r>
          </w:p>
        </w:tc>
      </w:tr>
      <w:tr w:rsidR="00A50E70" w:rsidRPr="00A50E70" w14:paraId="6F2F56BC"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6F10BCE9" w14:textId="1F8E1918"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0F1B7AF0">
                <v:shape id="_x0000_i1085" type="#_x0000_t75" style="width:20.25pt;height:18pt" o:ole="">
                  <v:imagedata r:id="rId8" o:title=""/>
                </v:shape>
                <w:control r:id="rId16" w:name="DefaultOcxName61" w:shapeid="_x0000_i1085"/>
              </w:object>
            </w:r>
            <w:r w:rsidRPr="00A50E70">
              <w:rPr>
                <w:rFonts w:cs="Arial"/>
                <w:color w:val="auto"/>
                <w:szCs w:val="21"/>
              </w:rPr>
              <w:t xml:space="preserve">Consulta </w:t>
            </w:r>
          </w:p>
        </w:tc>
        <w:tc>
          <w:tcPr>
            <w:tcW w:w="3439" w:type="dxa"/>
            <w:tcBorders>
              <w:top w:val="outset" w:sz="6" w:space="0" w:color="000000"/>
              <w:left w:val="outset" w:sz="6" w:space="0" w:color="000000"/>
              <w:bottom w:val="outset" w:sz="6" w:space="0" w:color="000000"/>
              <w:right w:val="outset" w:sz="6" w:space="0" w:color="000000"/>
            </w:tcBorders>
            <w:hideMark/>
          </w:tcPr>
          <w:p w14:paraId="702C3246" w14:textId="30340268"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2C480AE7">
                <v:shape id="_x0000_i1088" type="#_x0000_t75" style="width:20.25pt;height:18pt" o:ole="">
                  <v:imagedata r:id="rId11" o:title=""/>
                </v:shape>
                <w:control r:id="rId17" w:name="DefaultOcxName71" w:shapeid="_x0000_i1088"/>
              </w:object>
            </w:r>
            <w:r w:rsidRPr="00A50E70">
              <w:rPr>
                <w:rFonts w:cs="Arial"/>
                <w:color w:val="auto"/>
                <w:szCs w:val="21"/>
              </w:rPr>
              <w:t xml:space="preserve">Cesión </w:t>
            </w:r>
          </w:p>
        </w:tc>
        <w:tc>
          <w:tcPr>
            <w:tcW w:w="3561" w:type="dxa"/>
            <w:tcBorders>
              <w:top w:val="outset" w:sz="6" w:space="0" w:color="000000"/>
              <w:left w:val="outset" w:sz="6" w:space="0" w:color="000000"/>
              <w:bottom w:val="outset" w:sz="6" w:space="0" w:color="000000"/>
              <w:right w:val="outset" w:sz="6" w:space="0" w:color="000000"/>
            </w:tcBorders>
            <w:hideMark/>
          </w:tcPr>
          <w:p w14:paraId="6A919C8A" w14:textId="03963CB2"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62D6FEDB">
                <v:shape id="_x0000_i1091" type="#_x0000_t75" style="width:20.25pt;height:18pt" o:ole="">
                  <v:imagedata r:id="rId11" o:title=""/>
                </v:shape>
                <w:control r:id="rId18" w:name="DefaultOcxName81" w:shapeid="_x0000_i1091"/>
              </w:object>
            </w:r>
            <w:r w:rsidRPr="00A50E70">
              <w:rPr>
                <w:rFonts w:cs="Arial"/>
                <w:color w:val="auto"/>
                <w:szCs w:val="21"/>
              </w:rPr>
              <w:t xml:space="preserve">Difusión </w:t>
            </w:r>
          </w:p>
        </w:tc>
      </w:tr>
      <w:tr w:rsidR="00A50E70" w:rsidRPr="00A50E70" w14:paraId="177A1B22"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061F6D20" w14:textId="33DB1F5D"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6CFC0793">
                <v:shape id="_x0000_i1094" type="#_x0000_t75" style="width:20.25pt;height:18pt" o:ole="">
                  <v:imagedata r:id="rId11" o:title=""/>
                </v:shape>
                <w:control r:id="rId19" w:name="DefaultOcxName91" w:shapeid="_x0000_i1094"/>
              </w:object>
            </w:r>
            <w:r w:rsidRPr="00A50E70">
              <w:rPr>
                <w:rFonts w:cs="Arial"/>
                <w:color w:val="auto"/>
                <w:szCs w:val="21"/>
              </w:rPr>
              <w:t xml:space="preserve">Interconexión (cruce) </w:t>
            </w:r>
          </w:p>
        </w:tc>
        <w:tc>
          <w:tcPr>
            <w:tcW w:w="3439" w:type="dxa"/>
            <w:tcBorders>
              <w:top w:val="outset" w:sz="6" w:space="0" w:color="000000"/>
              <w:left w:val="outset" w:sz="6" w:space="0" w:color="000000"/>
              <w:bottom w:val="outset" w:sz="6" w:space="0" w:color="000000"/>
              <w:right w:val="outset" w:sz="6" w:space="0" w:color="000000"/>
            </w:tcBorders>
            <w:hideMark/>
          </w:tcPr>
          <w:p w14:paraId="7EAA1DCB" w14:textId="5080E84E"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1BBB8173">
                <v:shape id="_x0000_i1097" type="#_x0000_t75" style="width:20.25pt;height:18pt" o:ole="">
                  <v:imagedata r:id="rId11" o:title=""/>
                </v:shape>
                <w:control r:id="rId20" w:name="DefaultOcxName101" w:shapeid="_x0000_i1097"/>
              </w:object>
            </w:r>
            <w:r w:rsidRPr="00A50E70">
              <w:rPr>
                <w:rFonts w:cs="Arial"/>
                <w:color w:val="auto"/>
                <w:szCs w:val="21"/>
              </w:rPr>
              <w:t xml:space="preserve">Cotejo </w:t>
            </w:r>
          </w:p>
        </w:tc>
        <w:tc>
          <w:tcPr>
            <w:tcW w:w="3561" w:type="dxa"/>
            <w:tcBorders>
              <w:top w:val="outset" w:sz="6" w:space="0" w:color="000000"/>
              <w:left w:val="outset" w:sz="6" w:space="0" w:color="000000"/>
              <w:bottom w:val="outset" w:sz="6" w:space="0" w:color="000000"/>
              <w:right w:val="outset" w:sz="6" w:space="0" w:color="000000"/>
            </w:tcBorders>
            <w:hideMark/>
          </w:tcPr>
          <w:p w14:paraId="5F45E549" w14:textId="11BF7CB6"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0361D3C0">
                <v:shape id="_x0000_i1100" type="#_x0000_t75" style="width:20.25pt;height:18pt" o:ole="">
                  <v:imagedata r:id="rId11" o:title=""/>
                </v:shape>
                <w:control r:id="rId21" w:name="DefaultOcxName111" w:shapeid="_x0000_i1100"/>
              </w:object>
            </w:r>
            <w:r w:rsidRPr="00A50E70">
              <w:rPr>
                <w:rFonts w:cs="Arial"/>
                <w:color w:val="auto"/>
                <w:szCs w:val="21"/>
              </w:rPr>
              <w:t xml:space="preserve">Limitación </w:t>
            </w:r>
          </w:p>
        </w:tc>
      </w:tr>
      <w:tr w:rsidR="00A50E70" w:rsidRPr="00A50E70" w14:paraId="12F13D44"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26F9342" w14:textId="08C54C4D"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5B051E5A">
                <v:shape id="_x0000_i1103" type="#_x0000_t75" style="width:20.25pt;height:18pt" o:ole="">
                  <v:imagedata r:id="rId8" o:title=""/>
                </v:shape>
                <w:control r:id="rId22" w:name="DefaultOcxName121" w:shapeid="_x0000_i1103"/>
              </w:object>
            </w:r>
            <w:r w:rsidRPr="00A50E70">
              <w:rPr>
                <w:rFonts w:cs="Arial"/>
                <w:color w:val="auto"/>
                <w:szCs w:val="21"/>
              </w:rPr>
              <w:t xml:space="preserve">Supresión </w:t>
            </w:r>
          </w:p>
        </w:tc>
        <w:tc>
          <w:tcPr>
            <w:tcW w:w="3439" w:type="dxa"/>
            <w:tcBorders>
              <w:top w:val="outset" w:sz="6" w:space="0" w:color="000000"/>
              <w:left w:val="outset" w:sz="6" w:space="0" w:color="000000"/>
              <w:bottom w:val="outset" w:sz="6" w:space="0" w:color="000000"/>
              <w:right w:val="outset" w:sz="6" w:space="0" w:color="000000"/>
            </w:tcBorders>
            <w:hideMark/>
          </w:tcPr>
          <w:p w14:paraId="4D7135C0" w14:textId="3FEBBEFA"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6E6A45F9">
                <v:shape id="_x0000_i1106" type="#_x0000_t75" style="width:20.25pt;height:18pt" o:ole="">
                  <v:imagedata r:id="rId8" o:title=""/>
                </v:shape>
                <w:control r:id="rId23" w:name="DefaultOcxName131" w:shapeid="_x0000_i1106"/>
              </w:object>
            </w:r>
            <w:r w:rsidRPr="00A50E70">
              <w:rPr>
                <w:rFonts w:cs="Arial"/>
                <w:color w:val="auto"/>
                <w:szCs w:val="21"/>
              </w:rPr>
              <w:t xml:space="preserve">Destrucción (de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0B27DA60" w14:textId="727664D3"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7E0B5525">
                <v:shape id="_x0000_i1109" type="#_x0000_t75" style="width:20.25pt;height:18pt" o:ole="">
                  <v:imagedata r:id="rId11" o:title=""/>
                </v:shape>
                <w:control r:id="rId24" w:name="DefaultOcxName141" w:shapeid="_x0000_i1109"/>
              </w:object>
            </w:r>
            <w:r w:rsidRPr="00A50E70">
              <w:rPr>
                <w:rFonts w:cs="Arial"/>
                <w:color w:val="auto"/>
                <w:szCs w:val="21"/>
              </w:rPr>
              <w:t xml:space="preserve">Conservación (en sus sistemas de </w:t>
            </w:r>
            <w:proofErr w:type="spellStart"/>
            <w:r w:rsidRPr="00A50E70">
              <w:rPr>
                <w:rFonts w:cs="Arial"/>
                <w:color w:val="auto"/>
                <w:szCs w:val="21"/>
              </w:rPr>
              <w:t>inf</w:t>
            </w:r>
            <w:proofErr w:type="spellEnd"/>
            <w:r w:rsidRPr="00A50E70">
              <w:rPr>
                <w:rFonts w:cs="Arial"/>
                <w:color w:val="auto"/>
                <w:szCs w:val="21"/>
              </w:rPr>
              <w:t xml:space="preserve">.) </w:t>
            </w:r>
          </w:p>
        </w:tc>
      </w:tr>
      <w:tr w:rsidR="00A50E70" w:rsidRPr="00A50E70" w14:paraId="7EB0138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BC80982" w14:textId="42415342"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13CE57AB">
                <v:shape id="_x0000_i1112" type="#_x0000_t75" style="width:20.25pt;height:18pt" o:ole="">
                  <v:imagedata r:id="rId11" o:title=""/>
                </v:shape>
                <w:control r:id="rId25" w:name="DefaultOcxName151" w:shapeid="_x0000_i1112"/>
              </w:object>
            </w:r>
            <w:r w:rsidRPr="00A50E70">
              <w:rPr>
                <w:rFonts w:cs="Arial"/>
                <w:color w:val="auto"/>
                <w:szCs w:val="21"/>
              </w:rPr>
              <w:t xml:space="preserve">Duplicado </w:t>
            </w:r>
          </w:p>
        </w:tc>
        <w:tc>
          <w:tcPr>
            <w:tcW w:w="3439" w:type="dxa"/>
            <w:tcBorders>
              <w:top w:val="outset" w:sz="6" w:space="0" w:color="000000"/>
              <w:left w:val="outset" w:sz="6" w:space="0" w:color="000000"/>
              <w:bottom w:val="outset" w:sz="6" w:space="0" w:color="000000"/>
              <w:right w:val="outset" w:sz="6" w:space="0" w:color="000000"/>
            </w:tcBorders>
            <w:hideMark/>
          </w:tcPr>
          <w:p w14:paraId="542195B8" w14:textId="12305696"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6E05EBE6">
                <v:shape id="_x0000_i1115" type="#_x0000_t75" style="width:20.25pt;height:18pt" o:ole="">
                  <v:imagedata r:id="rId8" o:title=""/>
                </v:shape>
                <w:control r:id="rId26" w:name="DefaultOcxName161" w:shapeid="_x0000_i1115"/>
              </w:object>
            </w:r>
            <w:r w:rsidRPr="00A50E70">
              <w:rPr>
                <w:rFonts w:cs="Arial"/>
                <w:color w:val="auto"/>
                <w:szCs w:val="21"/>
              </w:rPr>
              <w:t xml:space="preserve">Copia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2779975A" w14:textId="485AB85D"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7437B9E8">
                <v:shape id="_x0000_i1118" type="#_x0000_t75" style="width:20.25pt;height:18pt" o:ole="">
                  <v:imagedata r:id="rId8" o:title=""/>
                </v:shape>
                <w:control r:id="rId27" w:name="DefaultOcxName171" w:shapeid="_x0000_i1118"/>
              </w:object>
            </w:r>
            <w:r w:rsidRPr="00A50E70">
              <w:rPr>
                <w:rFonts w:cs="Arial"/>
                <w:color w:val="auto"/>
                <w:szCs w:val="21"/>
              </w:rPr>
              <w:t xml:space="preserve">Copia de seguridad </w:t>
            </w:r>
          </w:p>
        </w:tc>
      </w:tr>
      <w:tr w:rsidR="001D3BF6" w:rsidRPr="00A50E70" w14:paraId="0F04A9EA"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3EB5A2C" w14:textId="0F0B19BB"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18E3F417">
                <v:shape id="_x0000_i1121" type="#_x0000_t75" style="width:20.25pt;height:18pt" o:ole="">
                  <v:imagedata r:id="rId8" o:title=""/>
                </v:shape>
                <w:control r:id="rId28" w:name="DefaultOcxName181" w:shapeid="_x0000_i1121"/>
              </w:object>
            </w:r>
            <w:r w:rsidRPr="00A50E70">
              <w:rPr>
                <w:rFonts w:cs="Arial"/>
                <w:color w:val="auto"/>
                <w:szCs w:val="21"/>
              </w:rPr>
              <w:t xml:space="preserve">Recuperación </w:t>
            </w:r>
          </w:p>
        </w:tc>
        <w:tc>
          <w:tcPr>
            <w:tcW w:w="7000" w:type="dxa"/>
            <w:gridSpan w:val="2"/>
            <w:tcBorders>
              <w:top w:val="outset" w:sz="6" w:space="0" w:color="000000"/>
              <w:left w:val="outset" w:sz="6" w:space="0" w:color="000000"/>
              <w:bottom w:val="outset" w:sz="6" w:space="0" w:color="000000"/>
              <w:right w:val="outset" w:sz="6" w:space="0" w:color="000000"/>
            </w:tcBorders>
            <w:hideMark/>
          </w:tcPr>
          <w:p w14:paraId="36EF2253" w14:textId="19D377FB" w:rsidR="001D3BF6" w:rsidRPr="00A50E70" w:rsidRDefault="001D3BF6" w:rsidP="00A50E70">
            <w:pPr>
              <w:spacing w:before="120" w:after="240" w:line="320" w:lineRule="exact"/>
              <w:rPr>
                <w:rFonts w:cs="Arial"/>
                <w:color w:val="auto"/>
                <w:szCs w:val="21"/>
              </w:rPr>
            </w:pPr>
            <w:r w:rsidRPr="00A50E70">
              <w:rPr>
                <w:rFonts w:cs="Arial"/>
                <w:szCs w:val="21"/>
              </w:rPr>
              <w:object w:dxaOrig="225" w:dyaOrig="225" w14:anchorId="7C17E51A">
                <v:shape id="_x0000_i1124" type="#_x0000_t75" style="width:20.25pt;height:18pt" o:ole="">
                  <v:imagedata r:id="rId11" o:title=""/>
                </v:shape>
                <w:control r:id="rId29" w:name="DefaultOcxName191" w:shapeid="_x0000_i1124"/>
              </w:object>
            </w:r>
            <w:r w:rsidRPr="00A50E70">
              <w:rPr>
                <w:rFonts w:cs="Arial"/>
                <w:color w:val="auto"/>
                <w:szCs w:val="21"/>
              </w:rPr>
              <w:t xml:space="preserve">Otros (especificar): </w:t>
            </w:r>
          </w:p>
        </w:tc>
      </w:tr>
    </w:tbl>
    <w:p w14:paraId="40F72EBB" w14:textId="77777777" w:rsidR="001D3BF6" w:rsidRPr="00A50E70" w:rsidRDefault="001D3BF6" w:rsidP="00A50E70">
      <w:pPr>
        <w:pBdr>
          <w:top w:val="single" w:sz="6" w:space="1" w:color="auto"/>
        </w:pBdr>
        <w:spacing w:before="120" w:after="240" w:line="320" w:lineRule="exact"/>
        <w:rPr>
          <w:rFonts w:cs="Arial"/>
          <w:vanish/>
          <w:color w:val="auto"/>
          <w:szCs w:val="21"/>
        </w:rPr>
      </w:pPr>
    </w:p>
    <w:p w14:paraId="65C882AA" w14:textId="77777777" w:rsidR="001D3BF6" w:rsidRPr="00A50E70" w:rsidRDefault="001D3BF6" w:rsidP="00A50E70">
      <w:pPr>
        <w:spacing w:before="120" w:after="240" w:line="320" w:lineRule="exact"/>
        <w:rPr>
          <w:rFonts w:cs="Arial"/>
          <w:color w:val="auto"/>
          <w:szCs w:val="21"/>
        </w:rPr>
      </w:pPr>
      <w:r w:rsidRPr="00A50E70">
        <w:rPr>
          <w:rFonts w:cs="Arial"/>
          <w:b/>
          <w:bCs/>
          <w:i/>
          <w:iCs/>
          <w:color w:val="auto"/>
          <w:szCs w:val="21"/>
        </w:rPr>
        <w:t xml:space="preserve">D) Disposición de los datos al terminar la prestación </w:t>
      </w:r>
    </w:p>
    <w:p w14:paraId="58499F94" w14:textId="77777777" w:rsidR="001D3BF6" w:rsidRPr="00A50E70" w:rsidRDefault="001D3BF6" w:rsidP="00A50E70">
      <w:pPr>
        <w:spacing w:before="120" w:after="240" w:line="320" w:lineRule="exact"/>
        <w:rPr>
          <w:rFonts w:cs="Arial"/>
          <w:color w:val="auto"/>
          <w:szCs w:val="21"/>
        </w:rPr>
      </w:pPr>
      <w:r w:rsidRPr="00A50E70">
        <w:rPr>
          <w:rFonts w:cs="Arial"/>
          <w:color w:val="auto"/>
          <w:szCs w:val="21"/>
        </w:rPr>
        <w:t>Una vez finalice el encargo, la persona adjudicataria debe:</w:t>
      </w:r>
    </w:p>
    <w:p w14:paraId="1B7BD938" w14:textId="77777777" w:rsidR="001D3BF6" w:rsidRPr="00A50E70" w:rsidRDefault="001D3BF6" w:rsidP="00A50E70">
      <w:pPr>
        <w:spacing w:before="120" w:after="240" w:line="320" w:lineRule="exact"/>
        <w:rPr>
          <w:rFonts w:cs="Arial"/>
          <w:color w:val="auto"/>
          <w:szCs w:val="21"/>
        </w:rPr>
      </w:pPr>
      <w:r w:rsidRPr="00A50E70">
        <w:rPr>
          <w:rFonts w:cs="Arial"/>
          <w:color w:val="auto"/>
          <w:szCs w:val="21"/>
        </w:rPr>
        <w:t>a) Devolver al responsable del tratamiento los datos de carácter personal y, si procede, los soportes donde consten, una vez cumplida la prestación. La devolución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7948F4C2" w14:textId="77777777" w:rsidR="001D3BF6" w:rsidRPr="00A50E70" w:rsidRDefault="001D3BF6" w:rsidP="00A50E70">
      <w:pPr>
        <w:spacing w:before="120" w:after="240" w:line="320" w:lineRule="exact"/>
        <w:rPr>
          <w:rFonts w:cs="Arial"/>
          <w:color w:val="auto"/>
          <w:szCs w:val="21"/>
        </w:rPr>
      </w:pPr>
      <w:r w:rsidRPr="00A50E70">
        <w:rPr>
          <w:rFonts w:cs="Arial"/>
          <w:color w:val="auto"/>
          <w:szCs w:val="21"/>
        </w:rPr>
        <w:t>No obstante, el Responsable del Tratamiento podrá requerir al encargado para que en vez de la opción a), cumpla con la b) o con la c) siguientes:</w:t>
      </w:r>
    </w:p>
    <w:p w14:paraId="7EE2B840" w14:textId="77777777" w:rsidR="001D3BF6" w:rsidRPr="00A50E70" w:rsidRDefault="001D3BF6" w:rsidP="00A50E70">
      <w:pPr>
        <w:spacing w:before="120" w:after="240" w:line="320" w:lineRule="exact"/>
        <w:rPr>
          <w:rFonts w:cs="Arial"/>
          <w:color w:val="auto"/>
          <w:szCs w:val="21"/>
        </w:rPr>
      </w:pPr>
      <w:r w:rsidRPr="00A50E70">
        <w:rPr>
          <w:rFonts w:cs="Arial"/>
          <w:color w:val="auto"/>
          <w:szCs w:val="21"/>
        </w:rPr>
        <w:t>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5AC3602A" w14:textId="77777777" w:rsidR="001D3BF6" w:rsidRPr="00A50E70" w:rsidRDefault="001D3BF6" w:rsidP="00A50E70">
      <w:pPr>
        <w:spacing w:before="120" w:after="240" w:line="320" w:lineRule="exact"/>
        <w:rPr>
          <w:rFonts w:cs="Arial"/>
          <w:color w:val="auto"/>
          <w:szCs w:val="21"/>
        </w:rPr>
      </w:pPr>
      <w:r w:rsidRPr="00A50E70">
        <w:rPr>
          <w:rFonts w:cs="Arial"/>
          <w:color w:val="auto"/>
          <w:szCs w:val="21"/>
        </w:rPr>
        <w:t>c) Destruir los datos, una vez cumplida la prestación. Una vez destruidos, el encargado debe certificar su destrucción por escrito y debe entregar el certificado al responsable del tratamiento. No obstante, el encargado puede conservar una copia, con los datos debidamente boqueados, mientras puedan derivarse responsabilidades de la ejecución de la prestación.</w:t>
      </w:r>
    </w:p>
    <w:p w14:paraId="144D2146" w14:textId="77777777" w:rsidR="001D3BF6" w:rsidRPr="00A50E70" w:rsidRDefault="001D3BF6" w:rsidP="00A50E70">
      <w:pPr>
        <w:spacing w:before="120" w:after="240" w:line="320" w:lineRule="exact"/>
        <w:rPr>
          <w:rFonts w:cs="Arial"/>
          <w:color w:val="auto"/>
          <w:szCs w:val="21"/>
        </w:rPr>
      </w:pPr>
      <w:r w:rsidRPr="00A50E70">
        <w:rPr>
          <w:rFonts w:cs="Arial"/>
          <w:b/>
          <w:bCs/>
          <w:i/>
          <w:iCs/>
          <w:color w:val="auto"/>
          <w:szCs w:val="21"/>
        </w:rPr>
        <w:t>E) Medidas de seguridad</w:t>
      </w:r>
    </w:p>
    <w:p w14:paraId="47B0F1EB" w14:textId="77777777" w:rsidR="00EF3E0A" w:rsidRPr="00A50E70" w:rsidRDefault="00EF3E0A" w:rsidP="00A50E70">
      <w:pPr>
        <w:spacing w:line="320" w:lineRule="exact"/>
        <w:rPr>
          <w:color w:val="auto"/>
        </w:rPr>
      </w:pPr>
      <w:r w:rsidRPr="00A50E70">
        <w:rPr>
          <w:rFonts w:eastAsia="Source Sans Pro" w:cs="Source Sans Pro"/>
          <w:color w:val="auto"/>
          <w:szCs w:val="21"/>
        </w:rPr>
        <w:t xml:space="preserve">Los planes de seguridad dispuestos por el responsable del tratamiento deberán garantizar el cumplimiento de los principios básicos y requisitos mínimos requeridos para una protección adecuada de la información que constituyen el Esquema Nacional de Seguridad (ENS), regulado por el </w:t>
      </w:r>
      <w:r w:rsidRPr="00A50E70">
        <w:rPr>
          <w:color w:val="auto"/>
        </w:rPr>
        <w:t>Real Decreto 311/2022, de 3 de mayo, por el que se regula el Esquema Nacional de Seguridad.</w:t>
      </w:r>
    </w:p>
    <w:p w14:paraId="6A3D9C09" w14:textId="77777777" w:rsidR="00EF3E0A" w:rsidRPr="00A50E70" w:rsidRDefault="00EF3E0A" w:rsidP="00A50E70">
      <w:pPr>
        <w:spacing w:line="320" w:lineRule="exact"/>
        <w:rPr>
          <w:color w:val="auto"/>
        </w:rPr>
      </w:pPr>
      <w:r w:rsidRPr="00A50E70">
        <w:rPr>
          <w:rFonts w:eastAsia="Source Sans Pro" w:cs="Source Sans Pro"/>
          <w:color w:val="auto"/>
          <w:szCs w:val="21"/>
        </w:rPr>
        <w:t>En concreto, se deberá asegurar el acceso, integridad, disponibilidad, autenticidad, confidencialidad, trazabilidad y conservación de los datos, informaciones y servicios utilizados en medios electrónicos que son objeto de la presente contratación.</w:t>
      </w:r>
    </w:p>
    <w:p w14:paraId="5897F30A" w14:textId="77777777" w:rsidR="00EF3E0A" w:rsidRPr="00A50E70" w:rsidRDefault="00EF3E0A" w:rsidP="00A50E70">
      <w:pPr>
        <w:spacing w:line="320" w:lineRule="exact"/>
        <w:rPr>
          <w:color w:val="auto"/>
        </w:rPr>
      </w:pPr>
      <w:r w:rsidRPr="00A50E70">
        <w:rPr>
          <w:rFonts w:eastAsia="Source Sans Pro" w:cs="Source Sans Pro"/>
          <w:color w:val="auto"/>
          <w:szCs w:val="21"/>
        </w:rPr>
        <w:t>Para lograr esto, se aplicarán las medidas de seguridad indicadas en el anexo II del ENS, en función de los tipos de activos presentes y las dimensiones de información relevantes, considerando las categorías de seguridad en las que recaen los sistemas de información objeto de la contratación según los criterios establecidos en el anexo I del ENS.</w:t>
      </w:r>
    </w:p>
    <w:p w14:paraId="5853A471" w14:textId="77777777" w:rsidR="00EF3E0A" w:rsidRPr="00A50E70" w:rsidRDefault="00EF3E0A" w:rsidP="00A50E70">
      <w:pPr>
        <w:spacing w:line="320" w:lineRule="exact"/>
        <w:rPr>
          <w:color w:val="auto"/>
        </w:rPr>
      </w:pPr>
      <w:r w:rsidRPr="00A50E70">
        <w:rPr>
          <w:rFonts w:eastAsia="Source Sans Pro" w:cs="Source Sans Pro"/>
          <w:color w:val="auto"/>
          <w:szCs w:val="21"/>
        </w:rPr>
        <w:t>Deberá también tenerse en cuenta lo dispuesto en el Decreto 1/2011, de 11 de enero, por el que se establece la política de seguridad de las tecnologías de la información y comunicaciones en la Administración de la Junta de Andalucía (modificado por el Decreto 70/2017, de 6 de junio) y en su desarrollo a partir de la Orden de 9 de junio de 2016, por la que se efectúa el desarrollo de la política de seguridad de las tecnologías de la información y comunicaciones en la Administración de la Junta de Andalucía y normativa asociada.</w:t>
      </w:r>
    </w:p>
    <w:p w14:paraId="1BD86CC7" w14:textId="77777777" w:rsidR="00EF3E0A" w:rsidRPr="00A50E70" w:rsidRDefault="00EF3E0A" w:rsidP="00A50E70">
      <w:pPr>
        <w:spacing w:line="320" w:lineRule="exact"/>
        <w:rPr>
          <w:color w:val="auto"/>
        </w:rPr>
      </w:pPr>
      <w:r w:rsidRPr="00A50E70">
        <w:rPr>
          <w:rFonts w:eastAsia="Source Sans Pro" w:cs="Source Sans Pro"/>
          <w:color w:val="auto"/>
          <w:szCs w:val="21"/>
        </w:rPr>
        <w:t xml:space="preserve">Se atenderá también a la normativa interna de la Consejería de Salud y Familias en materia de Seguridad TIC. Además, se deberá atender a las mejores prácticas sobre seguridad recogidas en las series de documentos CCN-STIC (Centro </w:t>
      </w:r>
      <w:proofErr w:type="spellStart"/>
      <w:r w:rsidRPr="00A50E70">
        <w:rPr>
          <w:rFonts w:eastAsia="Source Sans Pro" w:cs="Source Sans Pro"/>
          <w:color w:val="auto"/>
          <w:szCs w:val="21"/>
        </w:rPr>
        <w:t>Criptológico</w:t>
      </w:r>
      <w:proofErr w:type="spellEnd"/>
      <w:r w:rsidRPr="00A50E70">
        <w:rPr>
          <w:rFonts w:eastAsia="Source Sans Pro" w:cs="Source Sans Pro"/>
          <w:color w:val="auto"/>
          <w:szCs w:val="21"/>
        </w:rPr>
        <w:t xml:space="preserve"> Nacional - Seguridad de las Tecnologías de Información y Comunicaciones), disponibles en la web del CERT del Centro </w:t>
      </w:r>
      <w:proofErr w:type="spellStart"/>
      <w:r w:rsidRPr="00A50E70">
        <w:rPr>
          <w:rFonts w:eastAsia="Source Sans Pro" w:cs="Source Sans Pro"/>
          <w:color w:val="auto"/>
          <w:szCs w:val="21"/>
        </w:rPr>
        <w:t>Criptológico</w:t>
      </w:r>
      <w:proofErr w:type="spellEnd"/>
      <w:r w:rsidRPr="00A50E70">
        <w:rPr>
          <w:rFonts w:eastAsia="Source Sans Pro" w:cs="Source Sans Pro"/>
          <w:color w:val="auto"/>
          <w:szCs w:val="21"/>
        </w:rPr>
        <w:t xml:space="preserve"> Nacional ( </w:t>
      </w:r>
      <w:hyperlink r:id="rId30" w:history="1">
        <w:r w:rsidRPr="00A50E70">
          <w:rPr>
            <w:rStyle w:val="Hipervnculo"/>
            <w:rFonts w:eastAsia="Source Sans Pro" w:cs="Source Sans Pro"/>
            <w:color w:val="auto"/>
            <w:szCs w:val="21"/>
          </w:rPr>
          <w:t>http://www.ccn-cert.cni.es/</w:t>
        </w:r>
      </w:hyperlink>
      <w:r w:rsidRPr="00A50E70">
        <w:rPr>
          <w:rFonts w:eastAsia="Source Sans Pro" w:cs="Source Sans Pro"/>
          <w:color w:val="auto"/>
          <w:szCs w:val="21"/>
        </w:rPr>
        <w:t>), así como a las guías y procedimientos aplicables elaborados por la Unidad de Seguridad TIC Corporativa de la Junta de Andalucía.</w:t>
      </w:r>
    </w:p>
    <w:p w14:paraId="58D1CD15" w14:textId="77777777" w:rsidR="00EF3E0A" w:rsidRPr="00A50E70" w:rsidRDefault="00EF3E0A" w:rsidP="00A50E70">
      <w:pPr>
        <w:tabs>
          <w:tab w:val="left" w:pos="284"/>
        </w:tabs>
        <w:spacing w:line="320" w:lineRule="exact"/>
        <w:rPr>
          <w:color w:val="auto"/>
        </w:rPr>
      </w:pPr>
      <w:r w:rsidRPr="00A50E70">
        <w:rPr>
          <w:rFonts w:eastAsia="Source Sans Pro" w:cs="Source Sans Pro"/>
          <w:b/>
          <w:bCs/>
          <w:color w:val="auto"/>
          <w:szCs w:val="21"/>
          <w:u w:val="single"/>
        </w:rPr>
        <w:t>Tratamiento de datos de carácter personal</w:t>
      </w:r>
    </w:p>
    <w:p w14:paraId="03B580B7" w14:textId="2DD693E3" w:rsidR="00EF3E0A" w:rsidRPr="00A50E70" w:rsidRDefault="00EF3E0A" w:rsidP="00A50E70">
      <w:pPr>
        <w:spacing w:line="320" w:lineRule="exact"/>
        <w:rPr>
          <w:color w:val="auto"/>
        </w:rPr>
      </w:pPr>
      <w:r w:rsidRPr="00A50E70">
        <w:rPr>
          <w:rFonts w:eastAsia="Source Sans Pro" w:cs="Source Sans Pro"/>
          <w:color w:val="auto"/>
          <w:szCs w:val="21"/>
        </w:rPr>
        <w:t xml:space="preserve">De acuerdo con lo establecido en el artículo 32 del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en adelante RGPD, la figura del responsable del tratamiento, que recae en el Director Gerente del Servicio Andaluz de Salud (en adelante SAS), representado por cada Dirección Gerencia de los centros, realizará la evaluación de riesgos que determinen las medidas apropiadas para garantizar la seguridad de la información y los derechos de las personas usuarias. Asimismo, el encargado del tratamiento, representado por la persona contratista, también evaluará los posibles riesgos derivados del tratamiento, teniendo en cuenta los medios utilizados (tecnologías de acceso, recursos utilizados, etc.) y cualquier otra contingencia que pueda incidir en la seguridad. </w:t>
      </w:r>
      <w:r w:rsidR="004C183E" w:rsidRPr="00A50E70">
        <w:rPr>
          <w:rFonts w:eastAsia="Noto Sans HK Medium" w:cs="NewsGotT"/>
          <w:color w:val="auto"/>
          <w:szCs w:val="21"/>
        </w:rPr>
        <w:t>La determinación de las medidas de seguridad que deben ser aplicadas por la persona contratista podrá realizarse mediante la remisión de toda la información a la plataforma</w:t>
      </w:r>
      <w:r w:rsidR="004C183E" w:rsidRPr="00A50E70">
        <w:rPr>
          <w:rFonts w:eastAsia="Noto Sans HK Medium" w:cs="NewsGotT"/>
          <w:i/>
          <w:iCs/>
          <w:color w:val="auto"/>
          <w:szCs w:val="21"/>
        </w:rPr>
        <w:t xml:space="preserve"> </w:t>
      </w:r>
      <w:proofErr w:type="spellStart"/>
      <w:r w:rsidR="004C183E" w:rsidRPr="00A50E70">
        <w:rPr>
          <w:rFonts w:eastAsia="Noto Sans HK Medium" w:cs="NewsGotT"/>
          <w:i/>
          <w:iCs/>
          <w:color w:val="auto"/>
          <w:szCs w:val="21"/>
        </w:rPr>
        <w:t>Confluence</w:t>
      </w:r>
      <w:proofErr w:type="spellEnd"/>
      <w:r w:rsidR="004C183E" w:rsidRPr="00A50E70">
        <w:rPr>
          <w:rFonts w:eastAsia="Noto Sans HK Medium" w:cs="NewsGotT"/>
          <w:color w:val="auto"/>
          <w:szCs w:val="21"/>
        </w:rPr>
        <w:t xml:space="preserve"> corporativa de la STIC, donde se albergan las medidas de seguridad de tratamiento de información de ámbito general o para escenarios de tratamiento o cesión de información específicos. Como mínimo, se incorporarán las medidas establecidas en Real Decreto 311/2022, de 3 de mayo, por el que se regula el Esquema Nacional de Seguridad, en adelante ENS, establecidas para los sistemas de categoría de nivel MEDIO.</w:t>
      </w:r>
    </w:p>
    <w:p w14:paraId="6517970A" w14:textId="77777777" w:rsidR="00EF3E0A" w:rsidRPr="00A50E70" w:rsidRDefault="00EF3E0A" w:rsidP="00A50E70">
      <w:pPr>
        <w:spacing w:line="320" w:lineRule="exact"/>
        <w:rPr>
          <w:color w:val="auto"/>
        </w:rPr>
      </w:pPr>
      <w:r w:rsidRPr="00A50E70">
        <w:rPr>
          <w:rFonts w:eastAsia="Source Sans Pro" w:cs="Source Sans Pro"/>
          <w:color w:val="auto"/>
          <w:szCs w:val="21"/>
        </w:rPr>
        <w:t xml:space="preserve">El encargado del tratamiento, junto con el responsable del tratamiento, </w:t>
      </w:r>
      <w:proofErr w:type="gramStart"/>
      <w:r w:rsidRPr="00A50E70">
        <w:rPr>
          <w:rFonts w:eastAsia="Source Sans Pro" w:cs="Source Sans Pro"/>
          <w:color w:val="auto"/>
          <w:szCs w:val="21"/>
        </w:rPr>
        <w:t>establecerán</w:t>
      </w:r>
      <w:proofErr w:type="gramEnd"/>
      <w:r w:rsidRPr="00A50E70">
        <w:rPr>
          <w:rFonts w:eastAsia="Source Sans Pro" w:cs="Source Sans Pro"/>
          <w:color w:val="auto"/>
          <w:szCs w:val="21"/>
        </w:rPr>
        <w:t xml:space="preserve"> las medidas técnicas y organizativas apropiadas para garantizar el nivel de seguridad según lo identificado en la Evaluación de Riesgos que, en su caso, incluirán, entre otros:</w:t>
      </w:r>
    </w:p>
    <w:p w14:paraId="550A3B11" w14:textId="77777777" w:rsidR="00EF3E0A" w:rsidRPr="00A50E70" w:rsidRDefault="00EF3E0A" w:rsidP="00A50E70">
      <w:pPr>
        <w:spacing w:line="320" w:lineRule="exact"/>
        <w:rPr>
          <w:color w:val="auto"/>
        </w:rPr>
      </w:pPr>
      <w:r w:rsidRPr="00A50E70">
        <w:rPr>
          <w:rFonts w:eastAsia="Source Sans Pro" w:cs="Source Sans Pro"/>
          <w:color w:val="auto"/>
          <w:szCs w:val="21"/>
        </w:rPr>
        <w:t xml:space="preserve">a) La </w:t>
      </w:r>
      <w:proofErr w:type="spellStart"/>
      <w:r w:rsidRPr="00A50E70">
        <w:rPr>
          <w:rFonts w:eastAsia="Source Sans Pro" w:cs="Source Sans Pro"/>
          <w:color w:val="auto"/>
          <w:szCs w:val="21"/>
        </w:rPr>
        <w:t>anonimización</w:t>
      </w:r>
      <w:proofErr w:type="spellEnd"/>
      <w:r w:rsidRPr="00A50E70">
        <w:rPr>
          <w:rFonts w:eastAsia="Source Sans Pro" w:cs="Source Sans Pro"/>
          <w:color w:val="auto"/>
          <w:szCs w:val="21"/>
        </w:rPr>
        <w:t xml:space="preserve"> y el cifrado de datos personales;</w:t>
      </w:r>
    </w:p>
    <w:p w14:paraId="0488CC41" w14:textId="77777777" w:rsidR="00EF3E0A" w:rsidRPr="00A50E70" w:rsidRDefault="00EF3E0A" w:rsidP="00A50E70">
      <w:pPr>
        <w:spacing w:line="320" w:lineRule="exact"/>
        <w:rPr>
          <w:color w:val="auto"/>
        </w:rPr>
      </w:pPr>
      <w:r w:rsidRPr="00A50E70">
        <w:rPr>
          <w:rFonts w:eastAsia="Source Sans Pro" w:cs="Source Sans Pro"/>
          <w:color w:val="auto"/>
          <w:szCs w:val="21"/>
        </w:rPr>
        <w:t>b) La capacidad de garantizar la confidencialidad, integridad, disponibilidad y resiliencia permanentes de los sistemas y servicios de tratamiento;</w:t>
      </w:r>
    </w:p>
    <w:p w14:paraId="0F107B42" w14:textId="77777777" w:rsidR="00EF3E0A" w:rsidRPr="00A50E70" w:rsidRDefault="00EF3E0A" w:rsidP="00A50E70">
      <w:pPr>
        <w:spacing w:line="320" w:lineRule="exact"/>
        <w:rPr>
          <w:color w:val="auto"/>
        </w:rPr>
      </w:pPr>
      <w:r w:rsidRPr="00A50E70">
        <w:rPr>
          <w:rFonts w:eastAsia="Source Sans Pro" w:cs="Source Sans Pro"/>
          <w:color w:val="auto"/>
          <w:szCs w:val="21"/>
        </w:rPr>
        <w:t>c) La capacidad de restaurar la disponibilidad y el acceso a los datos personales de forma rápida, en caso de incidente físico o técnico;</w:t>
      </w:r>
    </w:p>
    <w:p w14:paraId="06555BD0" w14:textId="77777777" w:rsidR="00EF3E0A" w:rsidRPr="00A50E70" w:rsidRDefault="00EF3E0A" w:rsidP="00A50E70">
      <w:pPr>
        <w:spacing w:line="320" w:lineRule="exact"/>
        <w:rPr>
          <w:color w:val="auto"/>
        </w:rPr>
      </w:pPr>
      <w:r w:rsidRPr="00A50E70">
        <w:rPr>
          <w:rFonts w:eastAsia="Source Sans Pro" w:cs="Source Sans Pro"/>
          <w:color w:val="auto"/>
          <w:szCs w:val="21"/>
        </w:rPr>
        <w:t>d) Un proceso de verificación, evaluación y valoración de la eficacia de las medidas técnicas y organizativas para garantizar la seguridad del tratamiento.</w:t>
      </w:r>
    </w:p>
    <w:p w14:paraId="13AFDCF5" w14:textId="77777777" w:rsidR="00EF3E0A" w:rsidRPr="00A50E70" w:rsidRDefault="00EF3E0A" w:rsidP="00A50E70">
      <w:pPr>
        <w:spacing w:line="320" w:lineRule="exact"/>
        <w:rPr>
          <w:color w:val="auto"/>
        </w:rPr>
      </w:pPr>
      <w:r w:rsidRPr="00A50E70">
        <w:rPr>
          <w:rFonts w:eastAsia="Source Sans Pro" w:cs="Source Sans Pro"/>
          <w:color w:val="auto"/>
          <w:szCs w:val="21"/>
        </w:rPr>
        <w:t>El encargado del tratamiento asistirá al responsable del tratamiento para que éste pueda cumplir con su obligación de responder a las solicitudes que tengan por objeto el ejercicio de los derechos de los interesados establecidos en el capítulo III del RGPD. Se incluirán las funcionalidades necesarias que permitan atender los derechos de los titulares de los datos (acceso, rectificación, supresión, oposición, portabilidad, limitación y decisiones automatizadas) que se hayan seleccionado en la tabla que figura al principio de este documento.</w:t>
      </w:r>
    </w:p>
    <w:p w14:paraId="5CBC64CA" w14:textId="77777777" w:rsidR="00EF3E0A" w:rsidRPr="00A50E70" w:rsidRDefault="00EF3E0A" w:rsidP="00A50E70">
      <w:pPr>
        <w:spacing w:line="320" w:lineRule="exact"/>
        <w:rPr>
          <w:color w:val="auto"/>
        </w:rPr>
      </w:pPr>
      <w:r w:rsidRPr="00A50E70">
        <w:rPr>
          <w:rFonts w:eastAsia="Source Sans Pro" w:cs="Source Sans Pro"/>
          <w:color w:val="auto"/>
          <w:szCs w:val="21"/>
        </w:rPr>
        <w:t>El encargado del tratamiento pondrá a disposición del responsable toda la información necesaria para demostrar el cumplimiento de las obligaciones establecidas, así como para permitir y contribuir a la realización de auditorías, incluidas inspecciones, por parte del responsable o de otro auditor autorizado por dicho responsable.</w:t>
      </w:r>
    </w:p>
    <w:p w14:paraId="24A3A951" w14:textId="77777777" w:rsidR="004C183E" w:rsidRPr="00A50E70" w:rsidRDefault="004C183E" w:rsidP="00A50E70">
      <w:pPr>
        <w:spacing w:after="160" w:line="320" w:lineRule="exact"/>
        <w:rPr>
          <w:rFonts w:eastAsia="Noto Sans HK Medium" w:cs="NewsGotT"/>
          <w:color w:val="auto"/>
          <w:szCs w:val="21"/>
        </w:rPr>
      </w:pPr>
      <w:r w:rsidRPr="00A50E70">
        <w:rPr>
          <w:rFonts w:eastAsia="Noto Sans HK Medium" w:cs="NewsGotT"/>
          <w:color w:val="auto"/>
          <w:szCs w:val="21"/>
        </w:rPr>
        <w:t>En caso de violación de la seguridad de los datos personales, el encargado del tratamiento notificará sin dilación indebida y en un plazo máximo de 24 horas al responsable del tratamiento, las violaciones de la seguridad de los datos personales de las que tenga conocimiento. La notificación de las violaciones de la seguridad de los datos se realizará obligatoriamente mediante correo electrónico a los buzones del Delegado de Protección de Datos (DPD) y a la Unidad de Seguridad TIC (USTIC), junto con una comunicación al Centro de Gestión de Servicios TIC (CGES) del SAS a través de sus canales.</w:t>
      </w:r>
    </w:p>
    <w:p w14:paraId="64DB4390" w14:textId="77777777" w:rsidR="00EF3E0A" w:rsidRPr="00A50E70" w:rsidRDefault="00EF3E0A" w:rsidP="00A50E70">
      <w:pPr>
        <w:spacing w:line="320" w:lineRule="exact"/>
        <w:rPr>
          <w:color w:val="auto"/>
        </w:rPr>
      </w:pPr>
      <w:r w:rsidRPr="00A50E70">
        <w:rPr>
          <w:rFonts w:eastAsia="Source Sans Pro" w:cs="Source Sans Pro"/>
          <w:color w:val="auto"/>
          <w:szCs w:val="21"/>
        </w:rPr>
        <w:t>Se dispondrá de un proceso integral para hacer frente a los incidentes que puedan tener un impacto en la seguridad del sistema, incluyendo:</w:t>
      </w:r>
    </w:p>
    <w:p w14:paraId="4ABBDABB" w14:textId="77777777" w:rsidR="00EF3E0A" w:rsidRPr="00A50E70" w:rsidRDefault="00EF3E0A" w:rsidP="00A50E70">
      <w:pPr>
        <w:pStyle w:val="Prrafodelista"/>
        <w:numPr>
          <w:ilvl w:val="0"/>
          <w:numId w:val="27"/>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Procedimiento de reporte de incidentes reales o sospechosos, detallando el escalado de la notificación.</w:t>
      </w:r>
    </w:p>
    <w:p w14:paraId="23C31599" w14:textId="77777777" w:rsidR="00EF3E0A" w:rsidRPr="00A50E70" w:rsidRDefault="00EF3E0A" w:rsidP="00A50E70">
      <w:pPr>
        <w:pStyle w:val="Prrafodelista"/>
        <w:numPr>
          <w:ilvl w:val="0"/>
          <w:numId w:val="27"/>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Procedimiento de toma de medidas urgentes, incluyendo la detención de servicios, el aislamiento del sistema afectado, la recogida de evidencias y protección de los registros, según convenga al caso.</w:t>
      </w:r>
    </w:p>
    <w:p w14:paraId="0E204402" w14:textId="77777777" w:rsidR="00EF3E0A" w:rsidRPr="00A50E70" w:rsidRDefault="00EF3E0A" w:rsidP="00A50E70">
      <w:pPr>
        <w:pStyle w:val="Prrafodelista"/>
        <w:numPr>
          <w:ilvl w:val="0"/>
          <w:numId w:val="27"/>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Procedimiento de asignación de recursos para investigar las causas, analizar las consecuencias y resolver el incidente.</w:t>
      </w:r>
    </w:p>
    <w:p w14:paraId="06DDC7C3" w14:textId="77777777" w:rsidR="00EF3E0A" w:rsidRPr="00A50E70" w:rsidRDefault="00EF3E0A" w:rsidP="00A50E70">
      <w:pPr>
        <w:pStyle w:val="Prrafodelista"/>
        <w:numPr>
          <w:ilvl w:val="0"/>
          <w:numId w:val="27"/>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Procedimientos para informar a las partes interesadas, internas y externas.</w:t>
      </w:r>
    </w:p>
    <w:p w14:paraId="05453ED0" w14:textId="77777777" w:rsidR="00EF3E0A" w:rsidRPr="00A50E70" w:rsidRDefault="00EF3E0A" w:rsidP="00A50E70">
      <w:pPr>
        <w:pStyle w:val="Prrafodelista"/>
        <w:numPr>
          <w:ilvl w:val="0"/>
          <w:numId w:val="27"/>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Procedimientos para:</w:t>
      </w:r>
    </w:p>
    <w:p w14:paraId="4C87632A" w14:textId="77777777" w:rsidR="00EF3E0A" w:rsidRPr="00A50E70" w:rsidRDefault="00EF3E0A" w:rsidP="00A50E70">
      <w:pPr>
        <w:pStyle w:val="Prrafodelista"/>
        <w:numPr>
          <w:ilvl w:val="1"/>
          <w:numId w:val="26"/>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Prevenir que se repita el incidente.</w:t>
      </w:r>
    </w:p>
    <w:p w14:paraId="00F4258B" w14:textId="77777777" w:rsidR="00EF3E0A" w:rsidRPr="00A50E70" w:rsidRDefault="00EF3E0A" w:rsidP="00A50E70">
      <w:pPr>
        <w:pStyle w:val="Prrafodelista"/>
        <w:numPr>
          <w:ilvl w:val="1"/>
          <w:numId w:val="26"/>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Incluir en los procedimientos de usuario la identificación y forma de tratar el incidente.</w:t>
      </w:r>
    </w:p>
    <w:p w14:paraId="3150EC76" w14:textId="77777777" w:rsidR="00EF3E0A" w:rsidRPr="00A50E70" w:rsidRDefault="00EF3E0A" w:rsidP="00A50E70">
      <w:pPr>
        <w:pStyle w:val="Prrafodelista"/>
        <w:numPr>
          <w:ilvl w:val="1"/>
          <w:numId w:val="26"/>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Actualizar, extender, mejorar u optimizar los procedimientos de resolución de incidencias.</w:t>
      </w:r>
    </w:p>
    <w:p w14:paraId="088C2FBB" w14:textId="77777777" w:rsidR="00EF3E0A" w:rsidRPr="00A50E70" w:rsidRDefault="00EF3E0A" w:rsidP="00A50E70">
      <w:pPr>
        <w:spacing w:line="320" w:lineRule="exact"/>
        <w:rPr>
          <w:color w:val="auto"/>
        </w:rPr>
      </w:pPr>
      <w:r w:rsidRPr="00A50E70">
        <w:rPr>
          <w:rFonts w:eastAsia="Source Sans Pro" w:cs="Source Sans Pro"/>
          <w:color w:val="auto"/>
          <w:szCs w:val="21"/>
        </w:rPr>
        <w:t>La gestión de incidentes que afecten a datos de carácter personal tendrá en cuenta lo dispuesto en el Reglamento Europeo de Protección de Datos (RGPD), en lo que corresponda.</w:t>
      </w:r>
    </w:p>
    <w:p w14:paraId="050FD524" w14:textId="77777777" w:rsidR="00EF3E0A" w:rsidRPr="00A50E70" w:rsidRDefault="00EF3E0A" w:rsidP="00A50E70">
      <w:pPr>
        <w:spacing w:line="320" w:lineRule="exact"/>
        <w:rPr>
          <w:color w:val="auto"/>
        </w:rPr>
      </w:pPr>
      <w:r w:rsidRPr="00A50E70">
        <w:rPr>
          <w:rFonts w:eastAsia="Source Sans Pro" w:cs="Source Sans Pro"/>
          <w:color w:val="auto"/>
          <w:szCs w:val="21"/>
        </w:rPr>
        <w:t>El encargado de tratamiento prestará especial atención a las medidas de protección categorizadas en el ENS relacionadas con la protección de las aplicaciones informáticas (código [</w:t>
      </w:r>
      <w:proofErr w:type="spellStart"/>
      <w:r w:rsidRPr="00A50E70">
        <w:rPr>
          <w:rFonts w:eastAsia="Source Sans Pro" w:cs="Source Sans Pro"/>
          <w:color w:val="auto"/>
          <w:szCs w:val="21"/>
        </w:rPr>
        <w:t>mp.sw</w:t>
      </w:r>
      <w:proofErr w:type="spellEnd"/>
      <w:r w:rsidRPr="00A50E70">
        <w:rPr>
          <w:rFonts w:eastAsia="Source Sans Pro" w:cs="Source Sans Pro"/>
          <w:color w:val="auto"/>
          <w:szCs w:val="21"/>
        </w:rPr>
        <w:t>] en el ENS) y desarrollo de aplicaciones (código [mp.sw.1] en el ENS).</w:t>
      </w:r>
    </w:p>
    <w:p w14:paraId="4B708AC0" w14:textId="77777777" w:rsidR="00EF3E0A" w:rsidRPr="00A50E70" w:rsidRDefault="00EF3E0A" w:rsidP="00A50E70">
      <w:pPr>
        <w:pStyle w:val="Prrafodelista"/>
        <w:numPr>
          <w:ilvl w:val="0"/>
          <w:numId w:val="28"/>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El desarrollo de aplicaciones se realizará sobre un sistema diferente y separado del de producción, no debiendo existir herramientas o datos de producción en el entorno de desarrollo.</w:t>
      </w:r>
    </w:p>
    <w:p w14:paraId="3787C094" w14:textId="00817A56" w:rsidR="00EF3E0A" w:rsidRPr="00A50E70" w:rsidRDefault="00EF3E0A" w:rsidP="00A50E70">
      <w:pPr>
        <w:pStyle w:val="Prrafodelista"/>
        <w:numPr>
          <w:ilvl w:val="0"/>
          <w:numId w:val="28"/>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 xml:space="preserve">Se usarán pautas de desarrollo documentadas </w:t>
      </w:r>
      <w:r w:rsidR="004C183E" w:rsidRPr="00A50E70">
        <w:rPr>
          <w:rFonts w:eastAsia="Noto Sans HK Medium" w:cs="Calibri"/>
          <w:color w:val="auto"/>
          <w:szCs w:val="21"/>
        </w:rPr>
        <w:t xml:space="preserve">en la plataforma CONFLUENCE </w:t>
      </w:r>
      <w:r w:rsidRPr="00A50E70">
        <w:rPr>
          <w:rFonts w:eastAsia="Source Sans Pro" w:cs="Source Sans Pro"/>
          <w:color w:val="auto"/>
          <w:szCs w:val="21"/>
        </w:rPr>
        <w:t>que:</w:t>
      </w:r>
    </w:p>
    <w:p w14:paraId="6DF3C13C" w14:textId="77777777" w:rsidR="00EF3E0A" w:rsidRPr="00A50E70" w:rsidRDefault="00EF3E0A" w:rsidP="00A50E70">
      <w:pPr>
        <w:pStyle w:val="Prrafodelista"/>
        <w:numPr>
          <w:ilvl w:val="1"/>
          <w:numId w:val="25"/>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Tome en consideración los aspectos de seguridad a lo largo de todo el ciclo de vida.</w:t>
      </w:r>
    </w:p>
    <w:p w14:paraId="3B4901F9" w14:textId="77777777" w:rsidR="00EF3E0A" w:rsidRPr="00A50E70" w:rsidRDefault="00EF3E0A" w:rsidP="00A50E70">
      <w:pPr>
        <w:pStyle w:val="Prrafodelista"/>
        <w:numPr>
          <w:ilvl w:val="1"/>
          <w:numId w:val="25"/>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Trate específicamente los datos usados en desarrollo y pruebas.</w:t>
      </w:r>
    </w:p>
    <w:p w14:paraId="7ADD8BF0" w14:textId="77777777" w:rsidR="00EF3E0A" w:rsidRPr="00A50E70" w:rsidRDefault="00EF3E0A" w:rsidP="00A50E70">
      <w:pPr>
        <w:pStyle w:val="Prrafodelista"/>
        <w:numPr>
          <w:ilvl w:val="1"/>
          <w:numId w:val="25"/>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Permita la inspección del código fuente.</w:t>
      </w:r>
    </w:p>
    <w:p w14:paraId="204E7844" w14:textId="77777777" w:rsidR="00EF3E0A" w:rsidRPr="00A50E70" w:rsidRDefault="00EF3E0A" w:rsidP="00A50E70">
      <w:pPr>
        <w:pStyle w:val="Prrafodelista"/>
        <w:numPr>
          <w:ilvl w:val="0"/>
          <w:numId w:val="28"/>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Los siguientes elementos serán parte integral del diseño del sistema:</w:t>
      </w:r>
    </w:p>
    <w:p w14:paraId="7D6888C3" w14:textId="77777777" w:rsidR="00EF3E0A" w:rsidRPr="00A50E70" w:rsidRDefault="00EF3E0A" w:rsidP="00A50E70">
      <w:pPr>
        <w:pStyle w:val="Prrafodelista"/>
        <w:numPr>
          <w:ilvl w:val="1"/>
          <w:numId w:val="25"/>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Los mecanismos de identificación y autenticación.</w:t>
      </w:r>
    </w:p>
    <w:p w14:paraId="2E53ACA8" w14:textId="77777777" w:rsidR="00EF3E0A" w:rsidRPr="00A50E70" w:rsidRDefault="00EF3E0A" w:rsidP="00A50E70">
      <w:pPr>
        <w:pStyle w:val="Prrafodelista"/>
        <w:numPr>
          <w:ilvl w:val="1"/>
          <w:numId w:val="25"/>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Los mecanismos de protección de la información tratada.</w:t>
      </w:r>
    </w:p>
    <w:p w14:paraId="5B1380C5" w14:textId="77777777" w:rsidR="00EF3E0A" w:rsidRPr="00A50E70" w:rsidRDefault="00EF3E0A" w:rsidP="00A50E70">
      <w:pPr>
        <w:pStyle w:val="Prrafodelista"/>
        <w:numPr>
          <w:ilvl w:val="0"/>
          <w:numId w:val="28"/>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La generación y tratamiento de pistas de auditoría.</w:t>
      </w:r>
    </w:p>
    <w:p w14:paraId="163FFA4F" w14:textId="77777777" w:rsidR="00EF3E0A" w:rsidRPr="00A50E70" w:rsidRDefault="00EF3E0A" w:rsidP="00A50E70">
      <w:pPr>
        <w:pStyle w:val="Prrafodelista"/>
        <w:numPr>
          <w:ilvl w:val="0"/>
          <w:numId w:val="28"/>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Las pruebas anteriores a la implantación o modificación de los sistemas de información no se realizarán con datos reales, salvo que se asegure el nivel de seguridad correspondiente.</w:t>
      </w:r>
    </w:p>
    <w:p w14:paraId="2F725C07" w14:textId="77777777" w:rsidR="00EF3E0A" w:rsidRPr="00A50E70" w:rsidRDefault="00EF3E0A" w:rsidP="00A50E70">
      <w:pPr>
        <w:spacing w:line="320" w:lineRule="exact"/>
        <w:rPr>
          <w:color w:val="auto"/>
        </w:rPr>
      </w:pPr>
      <w:r w:rsidRPr="00A50E70">
        <w:rPr>
          <w:rFonts w:eastAsia="Source Sans Pro" w:cs="Source Sans Pro"/>
          <w:color w:val="auto"/>
          <w:szCs w:val="21"/>
        </w:rPr>
        <w:t xml:space="preserve"> </w:t>
      </w:r>
      <w:r w:rsidRPr="00A50E70">
        <w:rPr>
          <w:rFonts w:eastAsia="Source Sans Pro" w:cs="Source Sans Pro"/>
          <w:color w:val="auto"/>
          <w:szCs w:val="21"/>
          <w:u w:val="single"/>
        </w:rPr>
        <w:t xml:space="preserve">Aceptación y puesta en servicio (código [mp.sw.2] en el ENS). </w:t>
      </w:r>
    </w:p>
    <w:p w14:paraId="51413C47" w14:textId="77777777" w:rsidR="00EF3E0A" w:rsidRPr="00A50E70" w:rsidRDefault="00EF3E0A" w:rsidP="00A50E70">
      <w:pPr>
        <w:pStyle w:val="Prrafodelista"/>
        <w:numPr>
          <w:ilvl w:val="0"/>
          <w:numId w:val="28"/>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Antes de pasar a producción se comprobará el correcto funcionamiento de la aplicación. Se verificará que:</w:t>
      </w:r>
    </w:p>
    <w:p w14:paraId="4EB2516D" w14:textId="77777777" w:rsidR="00EF3E0A" w:rsidRPr="00A50E70" w:rsidRDefault="00EF3E0A" w:rsidP="00A50E70">
      <w:pPr>
        <w:pStyle w:val="Prrafodelista"/>
        <w:numPr>
          <w:ilvl w:val="0"/>
          <w:numId w:val="24"/>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cumplen los criterios de aceptación en materia de seguridad.</w:t>
      </w:r>
    </w:p>
    <w:p w14:paraId="29EA9013" w14:textId="77777777" w:rsidR="00EF3E0A" w:rsidRPr="00A50E70" w:rsidRDefault="00EF3E0A" w:rsidP="00A50E70">
      <w:pPr>
        <w:pStyle w:val="Prrafodelista"/>
        <w:numPr>
          <w:ilvl w:val="0"/>
          <w:numId w:val="24"/>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No se deteriora la seguridad de otros componentes del servicio.</w:t>
      </w:r>
    </w:p>
    <w:p w14:paraId="26A5FBB3" w14:textId="77777777" w:rsidR="00EF3E0A" w:rsidRPr="00A50E70" w:rsidRDefault="00EF3E0A" w:rsidP="00A50E70">
      <w:pPr>
        <w:pStyle w:val="Prrafodelista"/>
        <w:numPr>
          <w:ilvl w:val="0"/>
          <w:numId w:val="28"/>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Las pruebas se realizarán en un entorno aislado (pre-producción).</w:t>
      </w:r>
    </w:p>
    <w:p w14:paraId="48B5D0DA" w14:textId="77777777" w:rsidR="00EF3E0A" w:rsidRPr="00A50E70" w:rsidRDefault="00EF3E0A" w:rsidP="00A50E70">
      <w:pPr>
        <w:pStyle w:val="Prrafodelista"/>
        <w:numPr>
          <w:ilvl w:val="0"/>
          <w:numId w:val="28"/>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Las pruebas de aceptación no se realizarán con datos reales, salvo que se asegure el nivel de seguridad correspondiente.</w:t>
      </w:r>
    </w:p>
    <w:p w14:paraId="021A1856" w14:textId="77777777" w:rsidR="00EF3E0A" w:rsidRPr="00A50E70" w:rsidRDefault="00EF3E0A" w:rsidP="00A50E70">
      <w:pPr>
        <w:pStyle w:val="Prrafodelista"/>
        <w:numPr>
          <w:ilvl w:val="0"/>
          <w:numId w:val="28"/>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realizarán las siguientes inspecciones previas a la entrada en servicio:</w:t>
      </w:r>
    </w:p>
    <w:p w14:paraId="3E244640" w14:textId="77777777" w:rsidR="00EF3E0A" w:rsidRPr="00A50E70" w:rsidRDefault="00EF3E0A" w:rsidP="00A50E70">
      <w:pPr>
        <w:pStyle w:val="Prrafodelista"/>
        <w:numPr>
          <w:ilvl w:val="1"/>
          <w:numId w:val="27"/>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Análisis de vulnerabilidades.</w:t>
      </w:r>
    </w:p>
    <w:p w14:paraId="10A7E923" w14:textId="77777777" w:rsidR="00EF3E0A" w:rsidRPr="00A50E70" w:rsidRDefault="00EF3E0A" w:rsidP="00A50E70">
      <w:pPr>
        <w:pStyle w:val="Prrafodelista"/>
        <w:numPr>
          <w:ilvl w:val="1"/>
          <w:numId w:val="27"/>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Pruebas de penetración.</w:t>
      </w:r>
    </w:p>
    <w:p w14:paraId="14A78CB4" w14:textId="77777777" w:rsidR="00EF3E0A" w:rsidRPr="00A50E70" w:rsidRDefault="00EF3E0A" w:rsidP="00A50E70">
      <w:pPr>
        <w:spacing w:line="320" w:lineRule="exact"/>
        <w:rPr>
          <w:color w:val="auto"/>
        </w:rPr>
      </w:pPr>
      <w:r w:rsidRPr="00A50E70">
        <w:rPr>
          <w:rFonts w:eastAsia="Source Sans Pro" w:cs="Source Sans Pro"/>
          <w:color w:val="auto"/>
          <w:szCs w:val="21"/>
        </w:rPr>
        <w:t xml:space="preserve"> </w:t>
      </w:r>
      <w:r w:rsidRPr="00A50E70">
        <w:rPr>
          <w:rFonts w:eastAsia="Source Sans Pro" w:cs="Source Sans Pro"/>
          <w:color w:val="auto"/>
          <w:szCs w:val="21"/>
          <w:u w:val="single"/>
        </w:rPr>
        <w:t>Protección de servicios y aplicaciones web (código [mp.s.2] en el ENS).</w:t>
      </w:r>
    </w:p>
    <w:p w14:paraId="7ACD9693" w14:textId="77777777" w:rsidR="00EF3E0A" w:rsidRPr="00A50E70" w:rsidRDefault="00EF3E0A" w:rsidP="00A50E70">
      <w:pPr>
        <w:spacing w:line="320" w:lineRule="exact"/>
        <w:rPr>
          <w:color w:val="auto"/>
        </w:rPr>
      </w:pPr>
      <w:r w:rsidRPr="00A50E70">
        <w:rPr>
          <w:rFonts w:eastAsia="Source Sans Pro" w:cs="Source Sans Pro"/>
          <w:color w:val="auto"/>
          <w:szCs w:val="21"/>
        </w:rPr>
        <w:t xml:space="preserve">Los sistemas dedicados a la publicación de información deberán estar protegidos frente a las amenazas que les son propias. </w:t>
      </w:r>
    </w:p>
    <w:p w14:paraId="3C1686A7" w14:textId="77777777" w:rsidR="00EF3E0A" w:rsidRPr="00A50E70" w:rsidRDefault="00EF3E0A" w:rsidP="00A50E70">
      <w:pPr>
        <w:pStyle w:val="Prrafodelista"/>
        <w:numPr>
          <w:ilvl w:val="0"/>
          <w:numId w:val="23"/>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Cuando la información tenga algún tipo de control de acceso, se garantizará la imposibilidad de acceder a la información sin autenticación, en particular tomando medidas en los siguientes aspectos:</w:t>
      </w:r>
    </w:p>
    <w:p w14:paraId="47389B3F" w14:textId="77777777" w:rsidR="00EF3E0A" w:rsidRPr="00A50E70" w:rsidRDefault="00EF3E0A" w:rsidP="00A50E70">
      <w:pPr>
        <w:pStyle w:val="Prrafodelista"/>
        <w:numPr>
          <w:ilvl w:val="1"/>
          <w:numId w:val="23"/>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evitará que el servidor ofrezca acceso a los documentos por vías alternativas al protocolo determinado.</w:t>
      </w:r>
    </w:p>
    <w:p w14:paraId="61A88CE9" w14:textId="77777777" w:rsidR="00EF3E0A" w:rsidRPr="00A50E70" w:rsidRDefault="00EF3E0A" w:rsidP="00A50E70">
      <w:pPr>
        <w:pStyle w:val="Prrafodelista"/>
        <w:numPr>
          <w:ilvl w:val="1"/>
          <w:numId w:val="23"/>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prevendrán ataques de manipulación de direcciones de recursos de internet (más conocidos por el término URL por su sigla en inglés).</w:t>
      </w:r>
    </w:p>
    <w:p w14:paraId="1A32BC5C" w14:textId="77777777" w:rsidR="00EF3E0A" w:rsidRPr="00A50E70" w:rsidRDefault="00EF3E0A" w:rsidP="00A50E70">
      <w:pPr>
        <w:pStyle w:val="Prrafodelista"/>
        <w:numPr>
          <w:ilvl w:val="1"/>
          <w:numId w:val="23"/>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prevendrán ataques de manipulación de fragmentos de información que se almacena en el disco duro del visitante de una página web a través de su navegador, a petición del servidor de la página, conocido en inglés como «cookies».</w:t>
      </w:r>
    </w:p>
    <w:p w14:paraId="2770D69C" w14:textId="77777777" w:rsidR="00EF3E0A" w:rsidRPr="00A50E70" w:rsidRDefault="00EF3E0A" w:rsidP="00A50E70">
      <w:pPr>
        <w:pStyle w:val="Prrafodelista"/>
        <w:numPr>
          <w:ilvl w:val="1"/>
          <w:numId w:val="23"/>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prevendrán ataques del tipo inyección de código.</w:t>
      </w:r>
    </w:p>
    <w:p w14:paraId="2EE5F990" w14:textId="78569DB0" w:rsidR="00EF3E0A" w:rsidRPr="00A50E70" w:rsidRDefault="00EF3E0A" w:rsidP="00A50E70">
      <w:pPr>
        <w:pStyle w:val="Prrafodelista"/>
        <w:numPr>
          <w:ilvl w:val="0"/>
          <w:numId w:val="23"/>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 xml:space="preserve">Se prevendrán intentos de escalado de privilegios conforme a lo estipulado en </w:t>
      </w:r>
      <w:proofErr w:type="spellStart"/>
      <w:r w:rsidR="004C183E" w:rsidRPr="00A50E70">
        <w:rPr>
          <w:rFonts w:eastAsia="Noto Sans HK Medium" w:cs="Calibri"/>
          <w:color w:val="auto"/>
          <w:szCs w:val="21"/>
        </w:rPr>
        <w:t>en</w:t>
      </w:r>
      <w:proofErr w:type="spellEnd"/>
      <w:r w:rsidR="004C183E" w:rsidRPr="00A50E70">
        <w:rPr>
          <w:rFonts w:eastAsia="Noto Sans HK Medium" w:cs="NewsGotT"/>
          <w:color w:val="auto"/>
          <w:szCs w:val="21"/>
        </w:rPr>
        <w:t xml:space="preserve"> la plataforma </w:t>
      </w:r>
      <w:proofErr w:type="spellStart"/>
      <w:r w:rsidR="004C183E" w:rsidRPr="00A50E70">
        <w:rPr>
          <w:rFonts w:eastAsia="Noto Sans HK Medium" w:cs="NewsGotT"/>
          <w:color w:val="auto"/>
          <w:szCs w:val="21"/>
        </w:rPr>
        <w:t>Confluence</w:t>
      </w:r>
      <w:proofErr w:type="spellEnd"/>
      <w:r w:rsidR="004C183E" w:rsidRPr="00A50E70">
        <w:rPr>
          <w:rFonts w:eastAsia="Noto Sans HK Medium" w:cs="NewsGotT"/>
          <w:color w:val="auto"/>
          <w:szCs w:val="21"/>
        </w:rPr>
        <w:t xml:space="preserve"> de la STIC</w:t>
      </w:r>
      <w:r w:rsidRPr="00A50E70">
        <w:rPr>
          <w:rFonts w:eastAsia="Source Sans Pro" w:cs="Source Sans Pro"/>
          <w:color w:val="auto"/>
          <w:szCs w:val="21"/>
        </w:rPr>
        <w:t>.</w:t>
      </w:r>
    </w:p>
    <w:p w14:paraId="47A3C973" w14:textId="77777777" w:rsidR="00EF3E0A" w:rsidRPr="00A50E70" w:rsidRDefault="00EF3E0A" w:rsidP="00A50E70">
      <w:pPr>
        <w:pStyle w:val="Prrafodelista"/>
        <w:numPr>
          <w:ilvl w:val="0"/>
          <w:numId w:val="23"/>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prevendrán ataques de «</w:t>
      </w:r>
      <w:proofErr w:type="spellStart"/>
      <w:r w:rsidRPr="00A50E70">
        <w:rPr>
          <w:rFonts w:eastAsia="Source Sans Pro" w:cs="Source Sans Pro"/>
          <w:color w:val="auto"/>
          <w:szCs w:val="21"/>
        </w:rPr>
        <w:t>cross</w:t>
      </w:r>
      <w:proofErr w:type="spellEnd"/>
      <w:r w:rsidRPr="00A50E70">
        <w:rPr>
          <w:rFonts w:eastAsia="Source Sans Pro" w:cs="Source Sans Pro"/>
          <w:color w:val="auto"/>
          <w:szCs w:val="21"/>
        </w:rPr>
        <w:t xml:space="preserve"> </w:t>
      </w:r>
      <w:proofErr w:type="spellStart"/>
      <w:r w:rsidRPr="00A50E70">
        <w:rPr>
          <w:rFonts w:eastAsia="Source Sans Pro" w:cs="Source Sans Pro"/>
          <w:color w:val="auto"/>
          <w:szCs w:val="21"/>
        </w:rPr>
        <w:t>site</w:t>
      </w:r>
      <w:proofErr w:type="spellEnd"/>
      <w:r w:rsidRPr="00A50E70">
        <w:rPr>
          <w:rFonts w:eastAsia="Source Sans Pro" w:cs="Source Sans Pro"/>
          <w:color w:val="auto"/>
          <w:szCs w:val="21"/>
        </w:rPr>
        <w:t xml:space="preserve"> scripting».</w:t>
      </w:r>
    </w:p>
    <w:p w14:paraId="71742D32" w14:textId="77777777" w:rsidR="00EF3E0A" w:rsidRPr="00A50E70" w:rsidRDefault="00EF3E0A" w:rsidP="00A50E70">
      <w:pPr>
        <w:pStyle w:val="Prrafodelista"/>
        <w:numPr>
          <w:ilvl w:val="0"/>
          <w:numId w:val="23"/>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prevendrán ataques de manipulación de programas o dispositivos que realizan una acción en representación de otros, conocidos en terminología inglesa como «</w:t>
      </w:r>
      <w:proofErr w:type="spellStart"/>
      <w:r w:rsidRPr="00A50E70">
        <w:rPr>
          <w:rFonts w:eastAsia="Source Sans Pro" w:cs="Source Sans Pro"/>
          <w:color w:val="auto"/>
          <w:szCs w:val="21"/>
        </w:rPr>
        <w:t>proxies</w:t>
      </w:r>
      <w:proofErr w:type="spellEnd"/>
      <w:r w:rsidRPr="00A50E70">
        <w:rPr>
          <w:rFonts w:eastAsia="Source Sans Pro" w:cs="Source Sans Pro"/>
          <w:color w:val="auto"/>
          <w:szCs w:val="21"/>
        </w:rPr>
        <w:t>» y, sistemas especiales de almacenamiento de alta velocidad, conocidos en terminología inglesa como «cache».</w:t>
      </w:r>
    </w:p>
    <w:p w14:paraId="10F6D100" w14:textId="77777777" w:rsidR="00EF3E0A" w:rsidRPr="00A50E70" w:rsidRDefault="00EF3E0A" w:rsidP="00A50E70">
      <w:pPr>
        <w:spacing w:line="320" w:lineRule="exact"/>
        <w:rPr>
          <w:color w:val="auto"/>
        </w:rPr>
      </w:pPr>
      <w:r w:rsidRPr="00A50E70">
        <w:rPr>
          <w:rFonts w:eastAsia="Source Sans Pro" w:cs="Source Sans Pro"/>
          <w:color w:val="auto"/>
          <w:szCs w:val="21"/>
        </w:rPr>
        <w:t xml:space="preserve"> </w:t>
      </w:r>
      <w:r w:rsidRPr="00A50E70">
        <w:rPr>
          <w:rFonts w:eastAsia="Source Sans Pro" w:cs="Source Sans Pro"/>
          <w:color w:val="auto"/>
          <w:szCs w:val="21"/>
          <w:u w:val="single"/>
        </w:rPr>
        <w:t>Firma electrónica [mp.info.4].</w:t>
      </w:r>
    </w:p>
    <w:p w14:paraId="67BCADF6" w14:textId="77777777" w:rsidR="00EF3E0A" w:rsidRPr="00A50E70" w:rsidRDefault="00EF3E0A" w:rsidP="00A50E70">
      <w:pPr>
        <w:spacing w:line="320" w:lineRule="exact"/>
        <w:rPr>
          <w:color w:val="auto"/>
        </w:rPr>
      </w:pPr>
      <w:r w:rsidRPr="00A50E70">
        <w:rPr>
          <w:rFonts w:eastAsia="Source Sans Pro" w:cs="Source Sans Pro"/>
          <w:color w:val="auto"/>
          <w:szCs w:val="21"/>
        </w:rPr>
        <w:t>La firma electrónica es un mecanismo de prevención del repudio; es decir, previene frente a la posibilidad de que en el futuro el signatario pudiera desdecirse de la información firmada.</w:t>
      </w:r>
    </w:p>
    <w:p w14:paraId="4C6AA2B7" w14:textId="77777777" w:rsidR="00EF3E0A" w:rsidRPr="00A50E70" w:rsidRDefault="00EF3E0A" w:rsidP="00A50E70">
      <w:pPr>
        <w:spacing w:line="320" w:lineRule="exact"/>
        <w:rPr>
          <w:color w:val="auto"/>
        </w:rPr>
      </w:pPr>
      <w:r w:rsidRPr="00A50E70">
        <w:rPr>
          <w:rFonts w:eastAsia="Source Sans Pro" w:cs="Source Sans Pro"/>
          <w:color w:val="auto"/>
          <w:szCs w:val="21"/>
        </w:rPr>
        <w:t>La firma electrónica garantiza la autenticidad del signatario y la integridad del contenido. Cuando se emplee firma electrónica solo se utilizarán medios de firma electrónica de los previstos en la legislación vigente.</w:t>
      </w:r>
    </w:p>
    <w:p w14:paraId="31F112FC" w14:textId="77777777" w:rsidR="00EF3E0A" w:rsidRPr="00A50E70" w:rsidRDefault="00EF3E0A" w:rsidP="00A50E70">
      <w:pPr>
        <w:pStyle w:val="Prrafodelista"/>
        <w:numPr>
          <w:ilvl w:val="0"/>
          <w:numId w:val="22"/>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Los medios utilizados en la firma electrónica serán proporcionados a la calificación de la información tratada. En todo caso:</w:t>
      </w:r>
    </w:p>
    <w:p w14:paraId="0872127C" w14:textId="77777777" w:rsidR="00EF3E0A" w:rsidRPr="00A50E70" w:rsidRDefault="00EF3E0A" w:rsidP="00A50E70">
      <w:pPr>
        <w:pStyle w:val="Prrafodelista"/>
        <w:numPr>
          <w:ilvl w:val="1"/>
          <w:numId w:val="22"/>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emplearán algoritmos acreditados por el Centro Criptológico Nacional</w:t>
      </w:r>
    </w:p>
    <w:p w14:paraId="1B3BD6B9" w14:textId="77777777" w:rsidR="00EF3E0A" w:rsidRPr="00A50E70" w:rsidRDefault="00EF3E0A" w:rsidP="00A50E70">
      <w:pPr>
        <w:pStyle w:val="Prrafodelista"/>
        <w:numPr>
          <w:ilvl w:val="1"/>
          <w:numId w:val="22"/>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emplearán, preferentemente, certificados reconocidos.</w:t>
      </w:r>
    </w:p>
    <w:p w14:paraId="61A9291C" w14:textId="77777777" w:rsidR="00EF3E0A" w:rsidRPr="00A50E70" w:rsidRDefault="00EF3E0A" w:rsidP="00A50E70">
      <w:pPr>
        <w:pStyle w:val="Prrafodelista"/>
        <w:numPr>
          <w:ilvl w:val="1"/>
          <w:numId w:val="22"/>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emplearán, preferentemente, dispositivos seguros de firma.</w:t>
      </w:r>
    </w:p>
    <w:p w14:paraId="319AEFF7" w14:textId="77777777" w:rsidR="00EF3E0A" w:rsidRPr="00A50E70" w:rsidRDefault="00EF3E0A" w:rsidP="00A50E70">
      <w:pPr>
        <w:pStyle w:val="Prrafodelista"/>
        <w:numPr>
          <w:ilvl w:val="0"/>
          <w:numId w:val="22"/>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adjuntará a la firma, o se referenciará, toda la información pertinente para su verificación y validación:</w:t>
      </w:r>
    </w:p>
    <w:p w14:paraId="1FF49393" w14:textId="77777777" w:rsidR="00EF3E0A" w:rsidRPr="00A50E70" w:rsidRDefault="00EF3E0A" w:rsidP="00A50E70">
      <w:pPr>
        <w:pStyle w:val="Prrafodelista"/>
        <w:numPr>
          <w:ilvl w:val="1"/>
          <w:numId w:val="22"/>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Certificados.</w:t>
      </w:r>
    </w:p>
    <w:p w14:paraId="04CE34C4" w14:textId="77777777" w:rsidR="00EF3E0A" w:rsidRPr="00A50E70" w:rsidRDefault="00EF3E0A" w:rsidP="00A50E70">
      <w:pPr>
        <w:pStyle w:val="Prrafodelista"/>
        <w:numPr>
          <w:ilvl w:val="1"/>
          <w:numId w:val="22"/>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Datos de verificación y validación.</w:t>
      </w:r>
    </w:p>
    <w:p w14:paraId="75CAE5D1" w14:textId="77777777" w:rsidR="00EF3E0A" w:rsidRPr="00A50E70" w:rsidRDefault="00EF3E0A" w:rsidP="00A50E70">
      <w:pPr>
        <w:pStyle w:val="Prrafodelista"/>
        <w:numPr>
          <w:ilvl w:val="1"/>
          <w:numId w:val="22"/>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Se protegerán la firma y la información mencionada en el apartado anterior con un sello de tiempo.</w:t>
      </w:r>
    </w:p>
    <w:p w14:paraId="03DF7FFC" w14:textId="77777777" w:rsidR="00EF3E0A" w:rsidRPr="00A50E70" w:rsidRDefault="00EF3E0A" w:rsidP="00A50E70">
      <w:pPr>
        <w:pStyle w:val="Prrafodelista"/>
        <w:numPr>
          <w:ilvl w:val="1"/>
          <w:numId w:val="22"/>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El organismo que recabe documentos firmados por el administrado verificará y validará la firma recibida en el momento de la recepción, anexando o referenciando sin ambigüedad la información descrita en los epígrafes 1) y 2).</w:t>
      </w:r>
    </w:p>
    <w:p w14:paraId="303DA02B" w14:textId="77777777" w:rsidR="00EF3E0A" w:rsidRPr="00A50E70" w:rsidRDefault="00EF3E0A" w:rsidP="00A50E70">
      <w:pPr>
        <w:pStyle w:val="Prrafodelista"/>
        <w:numPr>
          <w:ilvl w:val="1"/>
          <w:numId w:val="22"/>
        </w:numPr>
        <w:spacing w:line="320" w:lineRule="exact"/>
        <w:rPr>
          <w:rFonts w:asciiTheme="minorHAnsi" w:eastAsiaTheme="minorEastAsia" w:hAnsiTheme="minorHAnsi" w:cstheme="minorBidi"/>
          <w:color w:val="auto"/>
          <w:szCs w:val="21"/>
        </w:rPr>
      </w:pPr>
      <w:r w:rsidRPr="00A50E70">
        <w:rPr>
          <w:rFonts w:eastAsia="Source Sans Pro" w:cs="Source Sans Pro"/>
          <w:color w:val="auto"/>
          <w:szCs w:val="21"/>
        </w:rPr>
        <w:t>La firma electrónica de documentos por parte de la Administración anexará o referenciará sin ambigüedad la información descrita en los epígrafes 1) y 2).</w:t>
      </w:r>
    </w:p>
    <w:p w14:paraId="47365F3F" w14:textId="77777777" w:rsidR="00EF3E0A" w:rsidRPr="00A50E70" w:rsidRDefault="00EF3E0A" w:rsidP="00A50E70">
      <w:pPr>
        <w:spacing w:line="320" w:lineRule="exact"/>
        <w:rPr>
          <w:color w:val="auto"/>
        </w:rPr>
      </w:pPr>
      <w:r w:rsidRPr="00A50E70">
        <w:rPr>
          <w:rFonts w:eastAsia="Source Sans Pro" w:cs="Source Sans Pro"/>
          <w:color w:val="auto"/>
          <w:szCs w:val="21"/>
        </w:rPr>
        <w:t xml:space="preserve"> </w:t>
      </w:r>
      <w:r w:rsidRPr="00A50E70">
        <w:rPr>
          <w:rFonts w:eastAsia="Source Sans Pro" w:cs="Source Sans Pro"/>
          <w:color w:val="auto"/>
          <w:szCs w:val="21"/>
          <w:u w:val="single"/>
        </w:rPr>
        <w:t>Datos de carácter personal [mp.info.1]</w:t>
      </w:r>
    </w:p>
    <w:p w14:paraId="0BF0D49F" w14:textId="06BCBFD5" w:rsidR="00EF3E0A" w:rsidRPr="00A50E70" w:rsidRDefault="00EF3E0A" w:rsidP="00A50E70">
      <w:pPr>
        <w:spacing w:line="320" w:lineRule="exact"/>
        <w:rPr>
          <w:color w:val="auto"/>
        </w:rPr>
      </w:pPr>
      <w:r w:rsidRPr="00A50E70">
        <w:rPr>
          <w:rFonts w:eastAsia="Source Sans Pro" w:cs="Source Sans Pro"/>
          <w:color w:val="auto"/>
          <w:szCs w:val="21"/>
        </w:rPr>
        <w:t>Cuando el sistema trate datos de carácter personal, se estará a lo dispuesto en la Ley Orgánica 3/2018, de 5 de diciembre, de Protección de Datos Personales y garantía de los derechos digitales, y normas de desarrollo, sin perjuicio de cumplir, además, las medidas establecidas por el Real Decreto 3</w:t>
      </w:r>
      <w:r w:rsidR="00BE1D21">
        <w:rPr>
          <w:rFonts w:eastAsia="Source Sans Pro" w:cs="Source Sans Pro"/>
          <w:color w:val="auto"/>
          <w:szCs w:val="21"/>
        </w:rPr>
        <w:t>11</w:t>
      </w:r>
      <w:r w:rsidRPr="00A50E70">
        <w:rPr>
          <w:rFonts w:eastAsia="Source Sans Pro" w:cs="Source Sans Pro"/>
          <w:color w:val="auto"/>
          <w:szCs w:val="21"/>
        </w:rPr>
        <w:t>/20</w:t>
      </w:r>
      <w:r w:rsidR="00BE1D21">
        <w:rPr>
          <w:rFonts w:eastAsia="Source Sans Pro" w:cs="Source Sans Pro"/>
          <w:color w:val="auto"/>
          <w:szCs w:val="21"/>
        </w:rPr>
        <w:t>22</w:t>
      </w:r>
      <w:r w:rsidRPr="00A50E70">
        <w:rPr>
          <w:rFonts w:eastAsia="Source Sans Pro" w:cs="Source Sans Pro"/>
          <w:color w:val="auto"/>
          <w:szCs w:val="21"/>
        </w:rPr>
        <w:t>, de</w:t>
      </w:r>
      <w:r w:rsidR="00BE1D21">
        <w:rPr>
          <w:rFonts w:eastAsia="Source Sans Pro" w:cs="Source Sans Pro"/>
          <w:color w:val="auto"/>
          <w:szCs w:val="21"/>
        </w:rPr>
        <w:t xml:space="preserve"> 3 de mayo</w:t>
      </w:r>
      <w:bookmarkStart w:id="0" w:name="_GoBack"/>
      <w:bookmarkEnd w:id="0"/>
      <w:r w:rsidRPr="00A50E70">
        <w:rPr>
          <w:rFonts w:eastAsia="Source Sans Pro" w:cs="Source Sans Pro"/>
          <w:color w:val="auto"/>
          <w:szCs w:val="21"/>
        </w:rPr>
        <w:t>, por el que se regula el Esquema Nacional de Seguridad en el ámbito de la Administración Electrónica.</w:t>
      </w:r>
    </w:p>
    <w:p w14:paraId="31199E58" w14:textId="77777777" w:rsidR="00EF3E0A" w:rsidRPr="00A50E70" w:rsidRDefault="00EF3E0A" w:rsidP="00A50E70">
      <w:pPr>
        <w:spacing w:line="320" w:lineRule="exact"/>
        <w:rPr>
          <w:color w:val="auto"/>
        </w:rPr>
      </w:pPr>
      <w:r w:rsidRPr="00A50E70">
        <w:rPr>
          <w:rFonts w:eastAsia="Source Sans Pro" w:cs="Source Sans Pro"/>
          <w:color w:val="auto"/>
          <w:szCs w:val="21"/>
        </w:rPr>
        <w:t>Lo indicado en el párrafo anterior también se aplicará, cuando una disposición con rango de ley se remita a las normas sobre datos de carácter personal en la protección de información.</w:t>
      </w:r>
    </w:p>
    <w:p w14:paraId="5DD131A4" w14:textId="77777777" w:rsidR="00CE137F" w:rsidRPr="00A50E70" w:rsidRDefault="00CE137F" w:rsidP="00A50E70">
      <w:pPr>
        <w:spacing w:before="120" w:after="240" w:line="320" w:lineRule="exact"/>
        <w:jc w:val="center"/>
        <w:rPr>
          <w:rFonts w:cs="Arial"/>
          <w:color w:val="auto"/>
          <w:szCs w:val="21"/>
        </w:rPr>
      </w:pPr>
      <w:r w:rsidRPr="00A50E70">
        <w:rPr>
          <w:rFonts w:cs="Arial"/>
          <w:color w:val="auto"/>
          <w:szCs w:val="21"/>
        </w:rPr>
        <w:t>POR EL SERVICIO ANDALUZ DE SALUD              LA PERSONA CONTRATISTA</w:t>
      </w:r>
    </w:p>
    <w:p w14:paraId="090D49B4" w14:textId="77777777" w:rsidR="00CE137F" w:rsidRPr="00A50E70" w:rsidRDefault="00CE137F" w:rsidP="00A50E70">
      <w:pPr>
        <w:spacing w:before="120" w:after="240" w:line="320" w:lineRule="exact"/>
        <w:rPr>
          <w:color w:val="auto"/>
          <w:szCs w:val="21"/>
        </w:rPr>
      </w:pPr>
    </w:p>
    <w:sectPr w:rsidR="00CE137F" w:rsidRPr="00A50E70" w:rsidSect="00A50E70">
      <w:headerReference w:type="default" r:id="rId31"/>
      <w:headerReference w:type="first" r:id="rId32"/>
      <w:footerReference w:type="first" r:id="rId33"/>
      <w:pgSz w:w="11906" w:h="16838"/>
      <w:pgMar w:top="1843" w:right="1304" w:bottom="1134"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00002FF" w:usb1="4000ACFF" w:usb2="00000001" w:usb3="00000000" w:csb0="0000019F" w:csb1="00000000"/>
  </w:font>
  <w:font w:name="Source Sans Pro">
    <w:panose1 w:val="020B0503030403020204"/>
    <w:charset w:val="00"/>
    <w:family w:val="swiss"/>
    <w:pitch w:val="variable"/>
    <w:sig w:usb0="20000007" w:usb1="00000001" w:usb2="00000000" w:usb3="00000000" w:csb0="00000193" w:csb1="00000000"/>
  </w:font>
  <w:font w:name="Noto Sans HK">
    <w:panose1 w:val="000000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sGotT">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0A8863B5" w:rsidR="00384FF2" w:rsidRDefault="006A6138" w:rsidP="00FC5BDF">
    <w:r>
      <w:rPr>
        <w:noProof/>
        <w:lang w:eastAsia="es-ES"/>
      </w:rPr>
      <w:drawing>
        <wp:anchor distT="0" distB="0" distL="114300" distR="114300" simplePos="0" relativeHeight="251670528" behindDoc="1" locked="0" layoutInCell="1" allowOverlap="1" wp14:anchorId="2D65C476" wp14:editId="616494AA">
          <wp:simplePos x="0" y="0"/>
          <wp:positionH relativeFrom="margin">
            <wp:align>right</wp:align>
          </wp:positionH>
          <wp:positionV relativeFrom="paragraph">
            <wp:posOffset>-492760</wp:posOffset>
          </wp:positionV>
          <wp:extent cx="1912786" cy="426757"/>
          <wp:effectExtent l="0" t="0" r="0" b="0"/>
          <wp:wrapTight wrapText="bothSides">
            <wp:wrapPolygon edited="0">
              <wp:start x="0" y="0"/>
              <wp:lineTo x="0" y="20250"/>
              <wp:lineTo x="21299" y="20250"/>
              <wp:lineTo x="21299" y="0"/>
              <wp:lineTo x="0" y="0"/>
            </wp:wrapPolygon>
          </wp:wrapTight>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stretch>
                    <a:fillRect/>
                  </a:stretch>
                </pic:blipFill>
                <pic:spPr>
                  <a:xfrm>
                    <a:off x="0" y="0"/>
                    <a:ext cx="1912786" cy="426757"/>
                  </a:xfrm>
                  <a:prstGeom prst="rect">
                    <a:avLst/>
                  </a:prstGeom>
                </pic:spPr>
              </pic:pic>
            </a:graphicData>
          </a:graphic>
        </wp:anchor>
      </w:drawing>
    </w:r>
    <w:r w:rsidR="00384FF2">
      <w:rPr>
        <w:noProof/>
        <w:lang w:eastAsia="es-ES"/>
      </w:rPr>
      <w:drawing>
        <wp:anchor distT="0" distB="0" distL="114300" distR="114300" simplePos="0" relativeHeight="251669504" behindDoc="0" locked="1" layoutInCell="1" allowOverlap="1" wp14:anchorId="40D05B84" wp14:editId="7895325B">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0.5pt;height:10.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0F9B4D82"/>
    <w:multiLevelType w:val="hybridMultilevel"/>
    <w:tmpl w:val="599E88D8"/>
    <w:lvl w:ilvl="0" w:tplc="4BA6A7BA">
      <w:start w:val="1"/>
      <w:numFmt w:val="decimal"/>
      <w:lvlText w:val="%1."/>
      <w:lvlJc w:val="left"/>
      <w:pPr>
        <w:ind w:left="720" w:hanging="360"/>
      </w:pPr>
    </w:lvl>
    <w:lvl w:ilvl="1" w:tplc="F928288E">
      <w:start w:val="1"/>
      <w:numFmt w:val="decimal"/>
      <w:lvlText w:val="%2."/>
      <w:lvlJc w:val="left"/>
      <w:pPr>
        <w:ind w:left="1440" w:hanging="360"/>
      </w:pPr>
    </w:lvl>
    <w:lvl w:ilvl="2" w:tplc="571EA726">
      <w:start w:val="1"/>
      <w:numFmt w:val="lowerRoman"/>
      <w:lvlText w:val="%3."/>
      <w:lvlJc w:val="right"/>
      <w:pPr>
        <w:ind w:left="2160" w:hanging="180"/>
      </w:pPr>
    </w:lvl>
    <w:lvl w:ilvl="3" w:tplc="0DE46624">
      <w:start w:val="1"/>
      <w:numFmt w:val="decimal"/>
      <w:lvlText w:val="%4."/>
      <w:lvlJc w:val="left"/>
      <w:pPr>
        <w:ind w:left="2880" w:hanging="360"/>
      </w:pPr>
    </w:lvl>
    <w:lvl w:ilvl="4" w:tplc="F8346F5C">
      <w:start w:val="1"/>
      <w:numFmt w:val="lowerLetter"/>
      <w:lvlText w:val="%5."/>
      <w:lvlJc w:val="left"/>
      <w:pPr>
        <w:ind w:left="3600" w:hanging="360"/>
      </w:pPr>
    </w:lvl>
    <w:lvl w:ilvl="5" w:tplc="8A52D04C">
      <w:start w:val="1"/>
      <w:numFmt w:val="lowerRoman"/>
      <w:lvlText w:val="%6."/>
      <w:lvlJc w:val="right"/>
      <w:pPr>
        <w:ind w:left="4320" w:hanging="180"/>
      </w:pPr>
    </w:lvl>
    <w:lvl w:ilvl="6" w:tplc="9D927DAE">
      <w:start w:val="1"/>
      <w:numFmt w:val="decimal"/>
      <w:lvlText w:val="%7."/>
      <w:lvlJc w:val="left"/>
      <w:pPr>
        <w:ind w:left="5040" w:hanging="360"/>
      </w:pPr>
    </w:lvl>
    <w:lvl w:ilvl="7" w:tplc="EBB2A9B6">
      <w:start w:val="1"/>
      <w:numFmt w:val="lowerLetter"/>
      <w:lvlText w:val="%8."/>
      <w:lvlJc w:val="left"/>
      <w:pPr>
        <w:ind w:left="5760" w:hanging="360"/>
      </w:pPr>
    </w:lvl>
    <w:lvl w:ilvl="8" w:tplc="47EEFCE4">
      <w:start w:val="1"/>
      <w:numFmt w:val="lowerRoman"/>
      <w:lvlText w:val="%9."/>
      <w:lvlJc w:val="right"/>
      <w:pPr>
        <w:ind w:left="6480" w:hanging="180"/>
      </w:pPr>
    </w:lvl>
  </w:abstractNum>
  <w:abstractNum w:abstractNumId="12">
    <w:nsid w:val="15533B54"/>
    <w:multiLevelType w:val="hybridMultilevel"/>
    <w:tmpl w:val="8BD270CE"/>
    <w:lvl w:ilvl="0" w:tplc="21761534">
      <w:start w:val="1"/>
      <w:numFmt w:val="lowerLetter"/>
      <w:lvlText w:val="%1."/>
      <w:lvlJc w:val="left"/>
      <w:pPr>
        <w:ind w:left="720" w:hanging="360"/>
      </w:pPr>
    </w:lvl>
    <w:lvl w:ilvl="1" w:tplc="E4F076A0">
      <w:start w:val="1"/>
      <w:numFmt w:val="lowerLetter"/>
      <w:lvlText w:val="%2."/>
      <w:lvlJc w:val="left"/>
      <w:pPr>
        <w:ind w:left="1440" w:hanging="360"/>
      </w:pPr>
    </w:lvl>
    <w:lvl w:ilvl="2" w:tplc="5E58F2A6">
      <w:start w:val="1"/>
      <w:numFmt w:val="lowerRoman"/>
      <w:lvlText w:val="%3."/>
      <w:lvlJc w:val="right"/>
      <w:pPr>
        <w:ind w:left="2160" w:hanging="180"/>
      </w:pPr>
    </w:lvl>
    <w:lvl w:ilvl="3" w:tplc="4B127390">
      <w:start w:val="1"/>
      <w:numFmt w:val="decimal"/>
      <w:lvlText w:val="%4."/>
      <w:lvlJc w:val="left"/>
      <w:pPr>
        <w:ind w:left="2880" w:hanging="360"/>
      </w:pPr>
    </w:lvl>
    <w:lvl w:ilvl="4" w:tplc="E356070E">
      <w:start w:val="1"/>
      <w:numFmt w:val="lowerLetter"/>
      <w:lvlText w:val="%5."/>
      <w:lvlJc w:val="left"/>
      <w:pPr>
        <w:ind w:left="3600" w:hanging="360"/>
      </w:pPr>
    </w:lvl>
    <w:lvl w:ilvl="5" w:tplc="1610C19A">
      <w:start w:val="1"/>
      <w:numFmt w:val="lowerRoman"/>
      <w:lvlText w:val="%6."/>
      <w:lvlJc w:val="right"/>
      <w:pPr>
        <w:ind w:left="4320" w:hanging="180"/>
      </w:pPr>
    </w:lvl>
    <w:lvl w:ilvl="6" w:tplc="AF4EB746">
      <w:start w:val="1"/>
      <w:numFmt w:val="decimal"/>
      <w:lvlText w:val="%7."/>
      <w:lvlJc w:val="left"/>
      <w:pPr>
        <w:ind w:left="5040" w:hanging="360"/>
      </w:pPr>
    </w:lvl>
    <w:lvl w:ilvl="7" w:tplc="A0EAD368">
      <w:start w:val="1"/>
      <w:numFmt w:val="lowerLetter"/>
      <w:lvlText w:val="%8."/>
      <w:lvlJc w:val="left"/>
      <w:pPr>
        <w:ind w:left="5760" w:hanging="360"/>
      </w:pPr>
    </w:lvl>
    <w:lvl w:ilvl="8" w:tplc="EFDC6EAC">
      <w:start w:val="1"/>
      <w:numFmt w:val="lowerRoman"/>
      <w:lvlText w:val="%9."/>
      <w:lvlJc w:val="right"/>
      <w:pPr>
        <w:ind w:left="6480" w:hanging="180"/>
      </w:pPr>
    </w:lvl>
  </w:abstractNum>
  <w:abstractNum w:abstractNumId="13">
    <w:nsid w:val="1B912D70"/>
    <w:multiLevelType w:val="hybridMultilevel"/>
    <w:tmpl w:val="3F7279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943AEA"/>
    <w:multiLevelType w:val="hybridMultilevel"/>
    <w:tmpl w:val="C292D132"/>
    <w:lvl w:ilvl="0" w:tplc="F92E1BC8">
      <w:start w:val="1"/>
      <w:numFmt w:val="lowerLetter"/>
      <w:lvlText w:val="%1."/>
      <w:lvlJc w:val="left"/>
      <w:pPr>
        <w:ind w:left="720" w:hanging="360"/>
      </w:pPr>
    </w:lvl>
    <w:lvl w:ilvl="1" w:tplc="2AEE7250">
      <w:start w:val="1"/>
      <w:numFmt w:val="decimal"/>
      <w:lvlText w:val="%2."/>
      <w:lvlJc w:val="left"/>
      <w:pPr>
        <w:ind w:left="1440" w:hanging="360"/>
      </w:pPr>
    </w:lvl>
    <w:lvl w:ilvl="2" w:tplc="CC406D2C">
      <w:start w:val="1"/>
      <w:numFmt w:val="lowerRoman"/>
      <w:lvlText w:val="%3."/>
      <w:lvlJc w:val="right"/>
      <w:pPr>
        <w:ind w:left="2160" w:hanging="180"/>
      </w:pPr>
    </w:lvl>
    <w:lvl w:ilvl="3" w:tplc="CCA0BE1E">
      <w:start w:val="1"/>
      <w:numFmt w:val="decimal"/>
      <w:lvlText w:val="%4."/>
      <w:lvlJc w:val="left"/>
      <w:pPr>
        <w:ind w:left="2880" w:hanging="360"/>
      </w:pPr>
    </w:lvl>
    <w:lvl w:ilvl="4" w:tplc="1DF0D8FE">
      <w:start w:val="1"/>
      <w:numFmt w:val="lowerLetter"/>
      <w:lvlText w:val="%5."/>
      <w:lvlJc w:val="left"/>
      <w:pPr>
        <w:ind w:left="3600" w:hanging="360"/>
      </w:pPr>
    </w:lvl>
    <w:lvl w:ilvl="5" w:tplc="37644BAE">
      <w:start w:val="1"/>
      <w:numFmt w:val="lowerRoman"/>
      <w:lvlText w:val="%6."/>
      <w:lvlJc w:val="right"/>
      <w:pPr>
        <w:ind w:left="4320" w:hanging="180"/>
      </w:pPr>
    </w:lvl>
    <w:lvl w:ilvl="6" w:tplc="C302B8D6">
      <w:start w:val="1"/>
      <w:numFmt w:val="decimal"/>
      <w:lvlText w:val="%7."/>
      <w:lvlJc w:val="left"/>
      <w:pPr>
        <w:ind w:left="5040" w:hanging="360"/>
      </w:pPr>
    </w:lvl>
    <w:lvl w:ilvl="7" w:tplc="A2148A6C">
      <w:start w:val="1"/>
      <w:numFmt w:val="lowerLetter"/>
      <w:lvlText w:val="%8."/>
      <w:lvlJc w:val="left"/>
      <w:pPr>
        <w:ind w:left="5760" w:hanging="360"/>
      </w:pPr>
    </w:lvl>
    <w:lvl w:ilvl="8" w:tplc="CAAA80CA">
      <w:start w:val="1"/>
      <w:numFmt w:val="lowerRoman"/>
      <w:lvlText w:val="%9."/>
      <w:lvlJc w:val="right"/>
      <w:pPr>
        <w:ind w:left="6480" w:hanging="180"/>
      </w:pPr>
    </w:lvl>
  </w:abstractNum>
  <w:abstractNum w:abstractNumId="15">
    <w:nsid w:val="1BC80306"/>
    <w:multiLevelType w:val="hybridMultilevel"/>
    <w:tmpl w:val="4B06802E"/>
    <w:lvl w:ilvl="0" w:tplc="F2EE281E">
      <w:start w:val="1"/>
      <w:numFmt w:val="lowerLetter"/>
      <w:lvlText w:val="%1."/>
      <w:lvlJc w:val="left"/>
      <w:pPr>
        <w:ind w:left="720" w:hanging="360"/>
      </w:pPr>
    </w:lvl>
    <w:lvl w:ilvl="1" w:tplc="93D85126">
      <w:start w:val="1"/>
      <w:numFmt w:val="lowerLetter"/>
      <w:lvlText w:val="%2."/>
      <w:lvlJc w:val="left"/>
      <w:pPr>
        <w:ind w:left="1440" w:hanging="360"/>
      </w:pPr>
    </w:lvl>
    <w:lvl w:ilvl="2" w:tplc="B69E6066">
      <w:start w:val="1"/>
      <w:numFmt w:val="lowerRoman"/>
      <w:lvlText w:val="%3."/>
      <w:lvlJc w:val="right"/>
      <w:pPr>
        <w:ind w:left="2160" w:hanging="180"/>
      </w:pPr>
    </w:lvl>
    <w:lvl w:ilvl="3" w:tplc="A8625B0E">
      <w:start w:val="1"/>
      <w:numFmt w:val="decimal"/>
      <w:lvlText w:val="%4."/>
      <w:lvlJc w:val="left"/>
      <w:pPr>
        <w:ind w:left="2880" w:hanging="360"/>
      </w:pPr>
    </w:lvl>
    <w:lvl w:ilvl="4" w:tplc="8FF63566">
      <w:start w:val="1"/>
      <w:numFmt w:val="lowerLetter"/>
      <w:lvlText w:val="%5."/>
      <w:lvlJc w:val="left"/>
      <w:pPr>
        <w:ind w:left="3600" w:hanging="360"/>
      </w:pPr>
    </w:lvl>
    <w:lvl w:ilvl="5" w:tplc="D2A24E9C">
      <w:start w:val="1"/>
      <w:numFmt w:val="lowerRoman"/>
      <w:lvlText w:val="%6."/>
      <w:lvlJc w:val="right"/>
      <w:pPr>
        <w:ind w:left="4320" w:hanging="180"/>
      </w:pPr>
    </w:lvl>
    <w:lvl w:ilvl="6" w:tplc="0644A694">
      <w:start w:val="1"/>
      <w:numFmt w:val="decimal"/>
      <w:lvlText w:val="%7."/>
      <w:lvlJc w:val="left"/>
      <w:pPr>
        <w:ind w:left="5040" w:hanging="360"/>
      </w:pPr>
    </w:lvl>
    <w:lvl w:ilvl="7" w:tplc="EE7CC63C">
      <w:start w:val="1"/>
      <w:numFmt w:val="lowerLetter"/>
      <w:lvlText w:val="%8."/>
      <w:lvlJc w:val="left"/>
      <w:pPr>
        <w:ind w:left="5760" w:hanging="360"/>
      </w:pPr>
    </w:lvl>
    <w:lvl w:ilvl="8" w:tplc="6BA2B232">
      <w:start w:val="1"/>
      <w:numFmt w:val="lowerRoman"/>
      <w:lvlText w:val="%9."/>
      <w:lvlJc w:val="right"/>
      <w:pPr>
        <w:ind w:left="6480" w:hanging="180"/>
      </w:pPr>
    </w:lvl>
  </w:abstractNum>
  <w:abstractNum w:abstractNumId="16">
    <w:nsid w:val="21893A3D"/>
    <w:multiLevelType w:val="hybridMultilevel"/>
    <w:tmpl w:val="0A00082A"/>
    <w:lvl w:ilvl="0" w:tplc="75B064B2">
      <w:start w:val="1"/>
      <w:numFmt w:val="lowerLetter"/>
      <w:lvlText w:val="%1."/>
      <w:lvlJc w:val="left"/>
      <w:pPr>
        <w:ind w:left="720" w:hanging="360"/>
      </w:pPr>
    </w:lvl>
    <w:lvl w:ilvl="1" w:tplc="7986B05E">
      <w:start w:val="1"/>
      <w:numFmt w:val="lowerLetter"/>
      <w:lvlText w:val="%2."/>
      <w:lvlJc w:val="left"/>
      <w:pPr>
        <w:ind w:left="1440" w:hanging="360"/>
      </w:pPr>
    </w:lvl>
    <w:lvl w:ilvl="2" w:tplc="7B8C4918">
      <w:start w:val="1"/>
      <w:numFmt w:val="lowerRoman"/>
      <w:lvlText w:val="%3."/>
      <w:lvlJc w:val="right"/>
      <w:pPr>
        <w:ind w:left="2160" w:hanging="180"/>
      </w:pPr>
    </w:lvl>
    <w:lvl w:ilvl="3" w:tplc="6F58E152">
      <w:start w:val="1"/>
      <w:numFmt w:val="decimal"/>
      <w:lvlText w:val="%4."/>
      <w:lvlJc w:val="left"/>
      <w:pPr>
        <w:ind w:left="2880" w:hanging="360"/>
      </w:pPr>
    </w:lvl>
    <w:lvl w:ilvl="4" w:tplc="8200A820">
      <w:start w:val="1"/>
      <w:numFmt w:val="lowerLetter"/>
      <w:lvlText w:val="%5."/>
      <w:lvlJc w:val="left"/>
      <w:pPr>
        <w:ind w:left="3600" w:hanging="360"/>
      </w:pPr>
    </w:lvl>
    <w:lvl w:ilvl="5" w:tplc="48E84ED0">
      <w:start w:val="1"/>
      <w:numFmt w:val="lowerRoman"/>
      <w:lvlText w:val="%6."/>
      <w:lvlJc w:val="right"/>
      <w:pPr>
        <w:ind w:left="4320" w:hanging="180"/>
      </w:pPr>
    </w:lvl>
    <w:lvl w:ilvl="6" w:tplc="E6C80EA8">
      <w:start w:val="1"/>
      <w:numFmt w:val="decimal"/>
      <w:lvlText w:val="%7."/>
      <w:lvlJc w:val="left"/>
      <w:pPr>
        <w:ind w:left="5040" w:hanging="360"/>
      </w:pPr>
    </w:lvl>
    <w:lvl w:ilvl="7" w:tplc="86001AF0">
      <w:start w:val="1"/>
      <w:numFmt w:val="lowerLetter"/>
      <w:lvlText w:val="%8."/>
      <w:lvlJc w:val="left"/>
      <w:pPr>
        <w:ind w:left="5760" w:hanging="360"/>
      </w:pPr>
    </w:lvl>
    <w:lvl w:ilvl="8" w:tplc="ABF2CE18">
      <w:start w:val="1"/>
      <w:numFmt w:val="lowerRoman"/>
      <w:lvlText w:val="%9."/>
      <w:lvlJc w:val="right"/>
      <w:pPr>
        <w:ind w:left="6480" w:hanging="180"/>
      </w:pPr>
    </w:lvl>
  </w:abstractNum>
  <w:abstractNum w:abstractNumId="17">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nsid w:val="4B180E4B"/>
    <w:multiLevelType w:val="hybridMultilevel"/>
    <w:tmpl w:val="FF1C9910"/>
    <w:lvl w:ilvl="0" w:tplc="A2227D08">
      <w:start w:val="1"/>
      <w:numFmt w:val="decimal"/>
      <w:lvlText w:val="%1."/>
      <w:lvlJc w:val="left"/>
      <w:pPr>
        <w:ind w:left="720" w:hanging="360"/>
      </w:pPr>
    </w:lvl>
    <w:lvl w:ilvl="1" w:tplc="FEF6D44E">
      <w:start w:val="1"/>
      <w:numFmt w:val="lowerLetter"/>
      <w:lvlText w:val="%2."/>
      <w:lvlJc w:val="left"/>
      <w:pPr>
        <w:ind w:left="1440" w:hanging="360"/>
      </w:pPr>
    </w:lvl>
    <w:lvl w:ilvl="2" w:tplc="4838134A">
      <w:start w:val="1"/>
      <w:numFmt w:val="lowerRoman"/>
      <w:lvlText w:val="%3."/>
      <w:lvlJc w:val="right"/>
      <w:pPr>
        <w:ind w:left="2160" w:hanging="180"/>
      </w:pPr>
    </w:lvl>
    <w:lvl w:ilvl="3" w:tplc="563C8E1C">
      <w:start w:val="1"/>
      <w:numFmt w:val="decimal"/>
      <w:lvlText w:val="%4."/>
      <w:lvlJc w:val="left"/>
      <w:pPr>
        <w:ind w:left="2880" w:hanging="360"/>
      </w:pPr>
    </w:lvl>
    <w:lvl w:ilvl="4" w:tplc="6EA2DDAC">
      <w:start w:val="1"/>
      <w:numFmt w:val="lowerLetter"/>
      <w:lvlText w:val="%5."/>
      <w:lvlJc w:val="left"/>
      <w:pPr>
        <w:ind w:left="3600" w:hanging="360"/>
      </w:pPr>
    </w:lvl>
    <w:lvl w:ilvl="5" w:tplc="8E447066">
      <w:start w:val="1"/>
      <w:numFmt w:val="lowerRoman"/>
      <w:lvlText w:val="%6."/>
      <w:lvlJc w:val="right"/>
      <w:pPr>
        <w:ind w:left="4320" w:hanging="180"/>
      </w:pPr>
    </w:lvl>
    <w:lvl w:ilvl="6" w:tplc="6EB45406">
      <w:start w:val="1"/>
      <w:numFmt w:val="decimal"/>
      <w:lvlText w:val="%7."/>
      <w:lvlJc w:val="left"/>
      <w:pPr>
        <w:ind w:left="5040" w:hanging="360"/>
      </w:pPr>
    </w:lvl>
    <w:lvl w:ilvl="7" w:tplc="FBF6B740">
      <w:start w:val="1"/>
      <w:numFmt w:val="lowerLetter"/>
      <w:lvlText w:val="%8."/>
      <w:lvlJc w:val="left"/>
      <w:pPr>
        <w:ind w:left="5760" w:hanging="360"/>
      </w:pPr>
    </w:lvl>
    <w:lvl w:ilvl="8" w:tplc="995616EE">
      <w:start w:val="1"/>
      <w:numFmt w:val="lowerRoman"/>
      <w:lvlText w:val="%9."/>
      <w:lvlJc w:val="right"/>
      <w:pPr>
        <w:ind w:left="6480" w:hanging="180"/>
      </w:pPr>
    </w:lvl>
  </w:abstractNum>
  <w:abstractNum w:abstractNumId="19">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2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21">
    <w:nsid w:val="696761B3"/>
    <w:multiLevelType w:val="multilevel"/>
    <w:tmpl w:val="96EEC4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7979729A"/>
    <w:multiLevelType w:val="hybridMultilevel"/>
    <w:tmpl w:val="3F7279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20"/>
  </w:num>
  <w:num w:numId="12">
    <w:abstractNumId w:val="17"/>
  </w:num>
  <w:num w:numId="13">
    <w:abstractNumId w:val="20"/>
  </w:num>
  <w:num w:numId="14">
    <w:abstractNumId w:val="17"/>
  </w:num>
  <w:num w:numId="15">
    <w:abstractNumId w:val="19"/>
  </w:num>
  <w:num w:numId="16">
    <w:abstractNumId w:val="22"/>
  </w:num>
  <w:num w:numId="17">
    <w:abstractNumId w:val="20"/>
  </w:num>
  <w:num w:numId="18">
    <w:abstractNumId w:val="17"/>
  </w:num>
  <w:num w:numId="19">
    <w:abstractNumId w:val="0"/>
  </w:num>
  <w:num w:numId="20">
    <w:abstractNumId w:val="21"/>
  </w:num>
  <w:num w:numId="21">
    <w:abstractNumId w:val="23"/>
  </w:num>
  <w:num w:numId="22">
    <w:abstractNumId w:val="14"/>
  </w:num>
  <w:num w:numId="23">
    <w:abstractNumId w:val="12"/>
  </w:num>
  <w:num w:numId="24">
    <w:abstractNumId w:val="15"/>
  </w:num>
  <w:num w:numId="25">
    <w:abstractNumId w:val="18"/>
  </w:num>
  <w:num w:numId="26">
    <w:abstractNumId w:val="11"/>
  </w:num>
  <w:num w:numId="27">
    <w:abstractNumId w:val="16"/>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D3BF6"/>
    <w:rsid w:val="001E170B"/>
    <w:rsid w:val="001E7FA5"/>
    <w:rsid w:val="001F20BC"/>
    <w:rsid w:val="00215326"/>
    <w:rsid w:val="00242F7C"/>
    <w:rsid w:val="0027291C"/>
    <w:rsid w:val="002A100E"/>
    <w:rsid w:val="002A217D"/>
    <w:rsid w:val="0032362F"/>
    <w:rsid w:val="00326B47"/>
    <w:rsid w:val="00337377"/>
    <w:rsid w:val="00345CF3"/>
    <w:rsid w:val="003653CF"/>
    <w:rsid w:val="0037201E"/>
    <w:rsid w:val="00384FF2"/>
    <w:rsid w:val="00394BCC"/>
    <w:rsid w:val="003A69AF"/>
    <w:rsid w:val="003B414C"/>
    <w:rsid w:val="003D4F21"/>
    <w:rsid w:val="003F4681"/>
    <w:rsid w:val="003F4B51"/>
    <w:rsid w:val="00482D1C"/>
    <w:rsid w:val="00484D11"/>
    <w:rsid w:val="00486F70"/>
    <w:rsid w:val="00491CAE"/>
    <w:rsid w:val="004C183E"/>
    <w:rsid w:val="004C7F77"/>
    <w:rsid w:val="00573998"/>
    <w:rsid w:val="005C5B21"/>
    <w:rsid w:val="005F0D6C"/>
    <w:rsid w:val="00632849"/>
    <w:rsid w:val="00643AE6"/>
    <w:rsid w:val="00645880"/>
    <w:rsid w:val="006505B4"/>
    <w:rsid w:val="006A35D6"/>
    <w:rsid w:val="006A6138"/>
    <w:rsid w:val="00725328"/>
    <w:rsid w:val="00767A6E"/>
    <w:rsid w:val="007851CB"/>
    <w:rsid w:val="0079270B"/>
    <w:rsid w:val="00793DEE"/>
    <w:rsid w:val="0082431C"/>
    <w:rsid w:val="008573FA"/>
    <w:rsid w:val="008831DD"/>
    <w:rsid w:val="008A4BE4"/>
    <w:rsid w:val="008D652F"/>
    <w:rsid w:val="0091389F"/>
    <w:rsid w:val="0092047A"/>
    <w:rsid w:val="009451FD"/>
    <w:rsid w:val="009A28FC"/>
    <w:rsid w:val="00A421C4"/>
    <w:rsid w:val="00A5076A"/>
    <w:rsid w:val="00A50E70"/>
    <w:rsid w:val="00A65561"/>
    <w:rsid w:val="00A6652F"/>
    <w:rsid w:val="00B02202"/>
    <w:rsid w:val="00B70231"/>
    <w:rsid w:val="00B8414F"/>
    <w:rsid w:val="00BD56CC"/>
    <w:rsid w:val="00BE1D21"/>
    <w:rsid w:val="00C1765A"/>
    <w:rsid w:val="00C17A4F"/>
    <w:rsid w:val="00C30782"/>
    <w:rsid w:val="00C3584B"/>
    <w:rsid w:val="00C93AFD"/>
    <w:rsid w:val="00CE137F"/>
    <w:rsid w:val="00D12A03"/>
    <w:rsid w:val="00D5258A"/>
    <w:rsid w:val="00E10E7F"/>
    <w:rsid w:val="00E26BD8"/>
    <w:rsid w:val="00E7759F"/>
    <w:rsid w:val="00E92539"/>
    <w:rsid w:val="00E97517"/>
    <w:rsid w:val="00EA2406"/>
    <w:rsid w:val="00ED1870"/>
    <w:rsid w:val="00EF3E0A"/>
    <w:rsid w:val="00F15692"/>
    <w:rsid w:val="00F30F84"/>
    <w:rsid w:val="00F44A1F"/>
    <w:rsid w:val="00F519DD"/>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1D3BF6"/>
    <w:pPr>
      <w:spacing w:before="100" w:beforeAutospacing="1" w:after="119"/>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EF3E0A"/>
    <w:rPr>
      <w:sz w:val="16"/>
      <w:szCs w:val="16"/>
    </w:rPr>
  </w:style>
  <w:style w:type="paragraph" w:styleId="Textocomentario">
    <w:name w:val="annotation text"/>
    <w:basedOn w:val="Normal"/>
    <w:link w:val="TextocomentarioCar"/>
    <w:uiPriority w:val="99"/>
    <w:unhideWhenUsed/>
    <w:rsid w:val="00EF3E0A"/>
    <w:rPr>
      <w:sz w:val="20"/>
      <w:szCs w:val="20"/>
    </w:rPr>
  </w:style>
  <w:style w:type="character" w:customStyle="1" w:styleId="TextocomentarioCar">
    <w:name w:val="Texto comentario Car"/>
    <w:basedOn w:val="Fuentedeprrafopredeter"/>
    <w:link w:val="Textocomentario"/>
    <w:uiPriority w:val="99"/>
    <w:rsid w:val="00EF3E0A"/>
    <w:rPr>
      <w:rFonts w:ascii="Source Sans Pro" w:eastAsia="Noto Sans HK" w:hAnsi="Source Sans Pro" w:cs="Times New Roman"/>
      <w:color w:val="2121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control" Target="activeX/activeX9.xml"/><Relationship Id="rId26" Type="http://schemas.openxmlformats.org/officeDocument/2006/relationships/control" Target="activeX/activeX17.xml"/><Relationship Id="rId3" Type="http://schemas.openxmlformats.org/officeDocument/2006/relationships/styles" Target="styles.xml"/><Relationship Id="rId21" Type="http://schemas.openxmlformats.org/officeDocument/2006/relationships/control" Target="activeX/activeX1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control" Target="activeX/activeX16.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control" Target="activeX/activeX11.xml"/><Relationship Id="rId29" Type="http://schemas.openxmlformats.org/officeDocument/2006/relationships/control" Target="activeX/activeX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ontrol" Target="activeX/activeX15.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control" Target="activeX/activeX14.xml"/><Relationship Id="rId28" Type="http://schemas.openxmlformats.org/officeDocument/2006/relationships/control" Target="activeX/activeX19.xml"/><Relationship Id="rId10" Type="http://schemas.openxmlformats.org/officeDocument/2006/relationships/control" Target="activeX/activeX2.xml"/><Relationship Id="rId19" Type="http://schemas.openxmlformats.org/officeDocument/2006/relationships/control" Target="activeX/activeX10.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control" Target="activeX/activeX13.xml"/><Relationship Id="rId27" Type="http://schemas.openxmlformats.org/officeDocument/2006/relationships/control" Target="activeX/activeX18.xml"/><Relationship Id="rId30" Type="http://schemas.openxmlformats.org/officeDocument/2006/relationships/hyperlink" Target="http://www.ccn-cert.cni.es/"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03A9A-BFB1-45FB-86AA-6E72F17CA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4197</Words>
  <Characters>23087</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Franco Lopez, Ricardo</cp:lastModifiedBy>
  <cp:revision>9</cp:revision>
  <cp:lastPrinted>2021-01-22T11:00:00Z</cp:lastPrinted>
  <dcterms:created xsi:type="dcterms:W3CDTF">2021-10-18T11:58:00Z</dcterms:created>
  <dcterms:modified xsi:type="dcterms:W3CDTF">2022-09-13T16:54:00Z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7fb912-4521-4a7e-a4b8-c3318952056f_Enabled">
    <vt:lpwstr>true</vt:lpwstr>
  </property>
  <property fmtid="{D5CDD505-2E9C-101B-9397-08002B2CF9AE}" pid="3" name="MSIP_Label_0d7fb912-4521-4a7e-a4b8-c3318952056f_SetDate">
    <vt:lpwstr>2021-12-17T08:19:01Z</vt:lpwstr>
  </property>
  <property fmtid="{D5CDD505-2E9C-101B-9397-08002B2CF9AE}" pid="4" name="MSIP_Label_0d7fb912-4521-4a7e-a4b8-c3318952056f_Method">
    <vt:lpwstr>Privileged</vt:lpwstr>
  </property>
  <property fmtid="{D5CDD505-2E9C-101B-9397-08002B2CF9AE}" pid="5" name="MSIP_Label_0d7fb912-4521-4a7e-a4b8-c3318952056f_Name">
    <vt:lpwstr>Externo</vt:lpwstr>
  </property>
  <property fmtid="{D5CDD505-2E9C-101B-9397-08002B2CF9AE}" pid="6" name="MSIP_Label_0d7fb912-4521-4a7e-a4b8-c3318952056f_SiteId">
    <vt:lpwstr>8b87af7d-8647-4dc7-8df4-5f69a2011bb5</vt:lpwstr>
  </property>
  <property fmtid="{D5CDD505-2E9C-101B-9397-08002B2CF9AE}" pid="7" name="MSIP_Label_0d7fb912-4521-4a7e-a4b8-c3318952056f_ActionId">
    <vt:lpwstr>5092240c-3b44-4cc9-b3cb-e288ae29f7ce</vt:lpwstr>
  </property>
  <property fmtid="{D5CDD505-2E9C-101B-9397-08002B2CF9AE}" pid="8" name="MSIP_Label_0d7fb912-4521-4a7e-a4b8-c3318952056f_ContentBits">
    <vt:lpwstr>0</vt:lpwstr>
  </property>
</Properties>
</file>