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2619" w14:textId="77777777" w:rsidR="00E01B08" w:rsidRDefault="00E01B08" w:rsidP="00E01B08">
      <w:pPr>
        <w:tabs>
          <w:tab w:val="right" w:pos="9921"/>
        </w:tabs>
        <w:ind w:right="142"/>
        <w:jc w:val="both"/>
        <w:rPr>
          <w:rFonts w:ascii="Source Sans Pro" w:eastAsia="Noto Sans HK Light" w:hAnsi="Source Sans Pro" w:cs="Noto Sans"/>
          <w:b/>
          <w:sz w:val="22"/>
          <w:szCs w:val="22"/>
          <w:u w:val="single"/>
        </w:rPr>
      </w:pPr>
    </w:p>
    <w:p w14:paraId="147C6294" w14:textId="01C5CC98" w:rsidR="00E01B08" w:rsidRDefault="00E01B08" w:rsidP="00E01B08">
      <w:pPr>
        <w:tabs>
          <w:tab w:val="right" w:pos="9921"/>
        </w:tabs>
        <w:ind w:right="142"/>
        <w:jc w:val="center"/>
        <w:rPr>
          <w:rFonts w:ascii="Source Sans Pro" w:eastAsia="Noto Sans HK Light" w:hAnsi="Source Sans Pro" w:cs="Noto Sans"/>
          <w:b/>
          <w:sz w:val="22"/>
          <w:szCs w:val="22"/>
        </w:rPr>
      </w:pPr>
      <w:r w:rsidRPr="00E01B08">
        <w:rPr>
          <w:rFonts w:ascii="Source Sans Pro" w:eastAsia="Noto Sans HK Light" w:hAnsi="Source Sans Pro" w:cs="Noto Sans"/>
          <w:b/>
          <w:sz w:val="22"/>
          <w:szCs w:val="22"/>
        </w:rPr>
        <w:t>ANEXO</w:t>
      </w:r>
      <w:r w:rsidR="00D01F38">
        <w:rPr>
          <w:rFonts w:ascii="Source Sans Pro" w:eastAsia="Noto Sans HK Light" w:hAnsi="Source Sans Pro" w:cs="Noto Sans"/>
          <w:b/>
          <w:sz w:val="22"/>
          <w:szCs w:val="22"/>
        </w:rPr>
        <w:t xml:space="preserve"> III</w:t>
      </w:r>
      <w:r w:rsidRPr="00E01B08">
        <w:rPr>
          <w:rFonts w:ascii="Source Sans Pro" w:eastAsia="Noto Sans HK Light" w:hAnsi="Source Sans Pro" w:cs="Noto Sans"/>
          <w:b/>
          <w:sz w:val="22"/>
          <w:szCs w:val="22"/>
        </w:rPr>
        <w:t xml:space="preserve"> AL CUADRO RESUMEN: CRITERIOS DE ADJUDICACIÓN</w:t>
      </w:r>
    </w:p>
    <w:p w14:paraId="1C468E01" w14:textId="59C28B57" w:rsidR="008C24EA" w:rsidRDefault="008C24EA" w:rsidP="00E01B08">
      <w:pPr>
        <w:tabs>
          <w:tab w:val="right" w:pos="9921"/>
        </w:tabs>
        <w:ind w:right="142"/>
        <w:jc w:val="center"/>
        <w:rPr>
          <w:rFonts w:ascii="Source Sans Pro" w:eastAsia="Noto Sans HK Light" w:hAnsi="Source Sans Pro" w:cs="Noto Sans"/>
          <w:b/>
          <w:sz w:val="22"/>
          <w:szCs w:val="22"/>
        </w:rPr>
      </w:pPr>
    </w:p>
    <w:p w14:paraId="17686452" w14:textId="1ADD5DDB" w:rsidR="008C24EA" w:rsidRDefault="008C24EA" w:rsidP="00E01B08">
      <w:pPr>
        <w:tabs>
          <w:tab w:val="right" w:pos="9921"/>
        </w:tabs>
        <w:ind w:right="142"/>
        <w:jc w:val="center"/>
        <w:rPr>
          <w:rFonts w:ascii="Source Sans Pro" w:eastAsia="Noto Sans HK Light" w:hAnsi="Source Sans Pro" w:cs="Noto Sans"/>
          <w:b/>
          <w:sz w:val="22"/>
          <w:szCs w:val="22"/>
        </w:rPr>
      </w:pPr>
    </w:p>
    <w:p w14:paraId="7E7877DF"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b/>
          <w:sz w:val="20"/>
          <w:u w:val="single"/>
        </w:rPr>
      </w:pPr>
    </w:p>
    <w:p w14:paraId="6E9BB007"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b/>
          <w:sz w:val="20"/>
          <w:u w:val="single"/>
        </w:rPr>
      </w:pPr>
      <w:r w:rsidRPr="00D020D5">
        <w:rPr>
          <w:rFonts w:ascii="Source Sans Pro" w:eastAsia="Noto Sans HK Light" w:hAnsi="Source Sans Pro" w:cs="Noto Sans"/>
          <w:b/>
          <w:sz w:val="20"/>
          <w:u w:val="single"/>
        </w:rPr>
        <w:t>CRITERIOS DE ADJUDICACIÓN</w:t>
      </w:r>
    </w:p>
    <w:p w14:paraId="65BCECDC"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sz w:val="20"/>
        </w:rPr>
      </w:pPr>
    </w:p>
    <w:p w14:paraId="1BD7988E" w14:textId="77777777" w:rsidR="008C24EA" w:rsidRDefault="008C24EA" w:rsidP="008C24EA">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Con el objetivo de conseguir la mejor relación calidad-precio, conforme establece el artículo 145.2 de la LCSP según el cual “la mejor relación calidad-precio se evaluará con arreglo a criterios económicos y cualitativos”, se han incluido por un lado la valoración de la oferta económica y por otro lado la evaluación de criterios cualitativos incluyendo aspectos técnicos y funcionales, vinculados todos ellos al objeto del Acuerdo marco. Así se han establecido los siguientes criterios:</w:t>
      </w:r>
    </w:p>
    <w:p w14:paraId="390430E4" w14:textId="77777777" w:rsidR="008C24EA" w:rsidRDefault="008C24EA" w:rsidP="008C24EA">
      <w:pPr>
        <w:tabs>
          <w:tab w:val="right" w:pos="9921"/>
        </w:tabs>
        <w:spacing w:line="276" w:lineRule="auto"/>
        <w:ind w:right="142"/>
        <w:jc w:val="both"/>
        <w:rPr>
          <w:rFonts w:ascii="Source Sans Pro" w:eastAsia="Noto Sans HK Light" w:hAnsi="Source Sans Pro" w:cs="Noto Sans"/>
          <w:sz w:val="20"/>
        </w:rPr>
      </w:pPr>
    </w:p>
    <w:p w14:paraId="70D4623B" w14:textId="77777777" w:rsidR="008C24EA" w:rsidRPr="00D020D5" w:rsidRDefault="008C24EA" w:rsidP="008C24EA">
      <w:pPr>
        <w:tabs>
          <w:tab w:val="right" w:pos="9921"/>
        </w:tabs>
        <w:spacing w:line="276" w:lineRule="auto"/>
        <w:ind w:left="709" w:right="142"/>
        <w:jc w:val="both"/>
        <w:rPr>
          <w:rFonts w:ascii="Source Sans Pro" w:hAnsi="Source Sans Pro"/>
        </w:rPr>
      </w:pPr>
      <w:r w:rsidRPr="00D020D5">
        <w:rPr>
          <w:rFonts w:ascii="Source Sans Pro" w:eastAsia="Noto Sans HK Light" w:hAnsi="Source Sans Pro" w:cs="Noto Sans"/>
          <w:b/>
          <w:sz w:val="20"/>
        </w:rPr>
        <w:t>CRITERIOS DE VALORACIÓN NO AUTOMÁTICOS (Sobre electrónico nº 2) (50 puntos)</w:t>
      </w:r>
    </w:p>
    <w:p w14:paraId="1EC9759C" w14:textId="77777777" w:rsidR="008C24EA" w:rsidRPr="00D020D5" w:rsidRDefault="008C24EA" w:rsidP="008C24EA">
      <w:pPr>
        <w:jc w:val="both"/>
        <w:rPr>
          <w:rFonts w:ascii="Source Sans Pro" w:hAnsi="Source Sans Pro"/>
        </w:rPr>
      </w:pPr>
    </w:p>
    <w:p w14:paraId="31B1A509" w14:textId="77777777" w:rsidR="008C24EA" w:rsidRPr="00D020D5" w:rsidRDefault="008C24EA" w:rsidP="008C24EA">
      <w:pPr>
        <w:tabs>
          <w:tab w:val="left" w:pos="8766"/>
        </w:tabs>
        <w:ind w:right="-23"/>
        <w:jc w:val="both"/>
        <w:rPr>
          <w:rFonts w:ascii="Source Sans Pro" w:eastAsia="Noto Sans HK Light" w:hAnsi="Source Sans Pro" w:cs="Noto Sans"/>
          <w:sz w:val="20"/>
          <w:u w:val="single"/>
        </w:rPr>
      </w:pPr>
      <w:r w:rsidRPr="00D020D5">
        <w:rPr>
          <w:rFonts w:ascii="Source Sans Pro" w:eastAsia="Noto Sans HK Light" w:hAnsi="Source Sans Pro" w:cs="Noto Sans"/>
          <w:sz w:val="20"/>
          <w:u w:val="single"/>
        </w:rPr>
        <w:t>VALORACIÓN TÉCNICO-FUNCIONAL DE LOS ARTÍCULOS: 0 - 50 PUNTOS</w:t>
      </w:r>
    </w:p>
    <w:p w14:paraId="07150910" w14:textId="77777777" w:rsidR="008C24EA" w:rsidRPr="00D020D5" w:rsidRDefault="008C24EA" w:rsidP="008C24EA">
      <w:pPr>
        <w:tabs>
          <w:tab w:val="left" w:pos="8766"/>
        </w:tabs>
        <w:ind w:left="360" w:right="-23"/>
        <w:jc w:val="both"/>
        <w:rPr>
          <w:rFonts w:ascii="Source Sans Pro" w:eastAsia="Noto Sans HK Light" w:hAnsi="Source Sans Pro" w:cs="Noto Sans"/>
          <w:sz w:val="20"/>
          <w:u w:val="single"/>
        </w:rPr>
      </w:pPr>
    </w:p>
    <w:p w14:paraId="4D096688" w14:textId="77777777" w:rsidR="008C24EA" w:rsidRPr="00D020D5" w:rsidRDefault="008C24EA" w:rsidP="008C24EA">
      <w:pPr>
        <w:tabs>
          <w:tab w:val="left" w:pos="8766"/>
        </w:tabs>
        <w:ind w:right="-23"/>
        <w:jc w:val="both"/>
        <w:rPr>
          <w:rFonts w:ascii="Source Sans Pro" w:hAnsi="Source Sans Pro" w:cs="Arial"/>
          <w:b/>
          <w:bCs/>
          <w:sz w:val="20"/>
          <w:u w:val="single"/>
        </w:rPr>
      </w:pPr>
    </w:p>
    <w:p w14:paraId="7CAF4053" w14:textId="77777777" w:rsidR="008C24EA" w:rsidRPr="00D020D5" w:rsidRDefault="008C24EA" w:rsidP="008C24EA">
      <w:pPr>
        <w:autoSpaceDE w:val="0"/>
        <w:autoSpaceDN w:val="0"/>
        <w:adjustRightInd w:val="0"/>
        <w:jc w:val="both"/>
        <w:rPr>
          <w:rFonts w:ascii="Source Sans Pro" w:hAnsi="Source Sans Pro" w:cs="Arial"/>
          <w:sz w:val="20"/>
        </w:rPr>
      </w:pPr>
      <w:r w:rsidRPr="00D020D5">
        <w:rPr>
          <w:rFonts w:ascii="Source Sans Pro" w:hAnsi="Source Sans Pro" w:cs="Arial"/>
          <w:sz w:val="20"/>
        </w:rPr>
        <w:t xml:space="preserve">La valoración técnico-funcional del producto se efectuará atendiendo a la documentación técnica aportada, por los licitadores. Las prestaciones ofertadas se entenderán como mínimas garantizadas. </w:t>
      </w:r>
    </w:p>
    <w:p w14:paraId="6A43B6F2" w14:textId="77777777" w:rsidR="008C24EA" w:rsidRPr="00D020D5" w:rsidRDefault="008C24EA" w:rsidP="008C24EA">
      <w:pPr>
        <w:tabs>
          <w:tab w:val="left" w:pos="8766"/>
        </w:tabs>
        <w:ind w:right="-23"/>
        <w:jc w:val="both"/>
        <w:rPr>
          <w:rFonts w:ascii="Source Sans Pro" w:hAnsi="Source Sans Pro" w:cs="Arial"/>
          <w:sz w:val="20"/>
        </w:rPr>
      </w:pPr>
    </w:p>
    <w:p w14:paraId="42CE596D" w14:textId="77777777" w:rsidR="008C24EA" w:rsidRPr="00D020D5" w:rsidRDefault="008C24EA" w:rsidP="008C24EA">
      <w:pPr>
        <w:jc w:val="both"/>
        <w:rPr>
          <w:rFonts w:ascii="Source Sans Pro" w:hAnsi="Source Sans Pro" w:cs="Arial"/>
          <w:sz w:val="20"/>
        </w:rPr>
      </w:pPr>
    </w:p>
    <w:p w14:paraId="01497994" w14:textId="77777777" w:rsidR="008C24EA" w:rsidRPr="00D020D5" w:rsidRDefault="008C24EA" w:rsidP="008C24EA">
      <w:pPr>
        <w:suppressAutoHyphens/>
        <w:jc w:val="both"/>
        <w:rPr>
          <w:rFonts w:ascii="Source Sans Pro" w:eastAsia="Calibri" w:hAnsi="Source Sans Pro" w:cs="Verdana"/>
          <w:b/>
          <w:bCs/>
          <w:color w:val="000000"/>
          <w:kern w:val="2"/>
          <w:sz w:val="20"/>
          <w:lang w:eastAsia="zh-CN"/>
        </w:rPr>
      </w:pPr>
    </w:p>
    <w:tbl>
      <w:tblPr>
        <w:tblW w:w="8771" w:type="dxa"/>
        <w:tblInd w:w="-347" w:type="dxa"/>
        <w:tblLayout w:type="fixed"/>
        <w:tblLook w:val="0000" w:firstRow="0" w:lastRow="0" w:firstColumn="0" w:lastColumn="0" w:noHBand="0" w:noVBand="0"/>
      </w:tblPr>
      <w:tblGrid>
        <w:gridCol w:w="313"/>
        <w:gridCol w:w="8222"/>
        <w:gridCol w:w="236"/>
      </w:tblGrid>
      <w:tr w:rsidR="008C24EA" w:rsidRPr="00D020D5" w14:paraId="48432DB7" w14:textId="77777777" w:rsidTr="00510963">
        <w:trPr>
          <w:trHeight w:val="855"/>
          <w:tblHeader/>
        </w:trPr>
        <w:tc>
          <w:tcPr>
            <w:tcW w:w="313" w:type="dxa"/>
            <w:tcBorders>
              <w:top w:val="single" w:sz="4" w:space="0" w:color="000000"/>
              <w:left w:val="single" w:sz="4" w:space="0" w:color="000000"/>
              <w:bottom w:val="single" w:sz="4" w:space="0" w:color="000000"/>
            </w:tcBorders>
            <w:shd w:val="clear" w:color="auto" w:fill="CCFFFF"/>
            <w:vAlign w:val="center"/>
          </w:tcPr>
          <w:p w14:paraId="7AC9C11C"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eastAsia="Calibri" w:hAnsi="Source Sans Pro" w:cs="Calibri"/>
                <w:kern w:val="2"/>
                <w:sz w:val="22"/>
                <w:szCs w:val="22"/>
                <w:lang w:eastAsia="zh-CN"/>
              </w:rPr>
            </w:pPr>
          </w:p>
        </w:tc>
        <w:tc>
          <w:tcPr>
            <w:tcW w:w="8222" w:type="dxa"/>
            <w:tcBorders>
              <w:top w:val="single" w:sz="4" w:space="0" w:color="000000"/>
              <w:left w:val="single" w:sz="4" w:space="0" w:color="000000"/>
              <w:bottom w:val="single" w:sz="4" w:space="0" w:color="000000"/>
            </w:tcBorders>
            <w:shd w:val="clear" w:color="auto" w:fill="CCFFFF"/>
            <w:vAlign w:val="center"/>
          </w:tcPr>
          <w:p w14:paraId="29023EAB"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b/>
                <w:bCs/>
                <w:sz w:val="20"/>
              </w:rPr>
            </w:pPr>
            <w:r w:rsidRPr="00D020D5">
              <w:rPr>
                <w:rFonts w:ascii="Source Sans Pro" w:hAnsi="Source Sans Pro" w:cs="Arial"/>
                <w:b/>
                <w:bCs/>
                <w:sz w:val="20"/>
              </w:rPr>
              <w:t>CRITERIOS DE VALORACIÓN</w:t>
            </w:r>
          </w:p>
        </w:tc>
        <w:tc>
          <w:tcPr>
            <w:tcW w:w="2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62AEFED"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eastAsia="Calibri" w:hAnsi="Source Sans Pro" w:cs="Calibri"/>
                <w:kern w:val="2"/>
                <w:sz w:val="22"/>
                <w:szCs w:val="22"/>
                <w:lang w:eastAsia="zh-CN"/>
              </w:rPr>
            </w:pPr>
          </w:p>
        </w:tc>
      </w:tr>
      <w:tr w:rsidR="008C24EA" w:rsidRPr="00D020D5" w14:paraId="5AB54926" w14:textId="77777777" w:rsidTr="00510963">
        <w:trPr>
          <w:trHeight w:val="642"/>
        </w:trPr>
        <w:tc>
          <w:tcPr>
            <w:tcW w:w="313" w:type="dxa"/>
            <w:tcBorders>
              <w:left w:val="single" w:sz="4" w:space="0" w:color="000000"/>
              <w:bottom w:val="single" w:sz="4" w:space="0" w:color="000000"/>
            </w:tcBorders>
            <w:shd w:val="clear" w:color="auto" w:fill="auto"/>
            <w:vAlign w:val="center"/>
          </w:tcPr>
          <w:p w14:paraId="543D9E6B" w14:textId="77777777" w:rsidR="008C24EA" w:rsidRPr="00D020D5" w:rsidRDefault="008C24EA" w:rsidP="00510963">
            <w:pPr>
              <w:suppressAutoHyphens/>
              <w:snapToGrid w:val="0"/>
              <w:spacing w:after="160" w:line="252" w:lineRule="auto"/>
              <w:jc w:val="both"/>
              <w:rPr>
                <w:rFonts w:ascii="Source Sans Pro" w:eastAsia="Calibri" w:hAnsi="Source Sans Pro" w:cs="Calibri"/>
                <w:kern w:val="2"/>
                <w:sz w:val="22"/>
                <w:szCs w:val="22"/>
                <w:lang w:eastAsia="zh-CN"/>
              </w:rPr>
            </w:pPr>
          </w:p>
        </w:tc>
        <w:tc>
          <w:tcPr>
            <w:tcW w:w="8222" w:type="dxa"/>
            <w:tcBorders>
              <w:left w:val="single" w:sz="4" w:space="0" w:color="000000"/>
              <w:bottom w:val="single" w:sz="4" w:space="0" w:color="000000"/>
            </w:tcBorders>
            <w:shd w:val="clear" w:color="auto" w:fill="auto"/>
            <w:vAlign w:val="center"/>
          </w:tcPr>
          <w:p w14:paraId="5AF36003"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NIVEL VALORACION FUNCIONAL</w:t>
            </w:r>
          </w:p>
          <w:p w14:paraId="45B73792"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En este criterio se valorará con un total de 50 puntos los siguientes parámetros técnicos funcionales, en relación a la mejora sobre los aspectos indicados para cada lote en el PPT. Cada uno de estos parámetros tendrá la siguiente ponderación:</w:t>
            </w:r>
          </w:p>
          <w:p w14:paraId="20DBA5C5"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 xml:space="preserve">1.- </w:t>
            </w:r>
            <w:r w:rsidRPr="00D020D5">
              <w:rPr>
                <w:rFonts w:ascii="Source Sans Pro" w:hAnsi="Source Sans Pro" w:cs="Arial"/>
                <w:b/>
                <w:sz w:val="20"/>
              </w:rPr>
              <w:t>Calidad del material</w:t>
            </w:r>
            <w:r w:rsidRPr="00D020D5">
              <w:rPr>
                <w:rFonts w:ascii="Source Sans Pro" w:hAnsi="Source Sans Pro" w:cs="Arial"/>
                <w:sz w:val="20"/>
              </w:rPr>
              <w:t xml:space="preserve">: En este parámetro se valoran las características de los materiales y la composición de los productos ofertados: 15 puntos. </w:t>
            </w:r>
          </w:p>
          <w:p w14:paraId="25734638"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Escala de puntuación:</w:t>
            </w:r>
          </w:p>
          <w:p w14:paraId="5259890A"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 xml:space="preserve">MUY ADECUADO: La oferta cumple las características técnicas solicitadas en el PPT y presenta mejoras significativas respecto al parámetro objeto de valoración. </w:t>
            </w:r>
          </w:p>
          <w:p w14:paraId="4FEB3566"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 xml:space="preserve"> 15 puntos.</w:t>
            </w:r>
          </w:p>
          <w:p w14:paraId="0D6C720F"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ADECUADO: La oferta cumple las características técnicas solicitadas en el PPT y presenta alguna mejora respecto al parámetro objeto de valoración.</w:t>
            </w:r>
          </w:p>
          <w:p w14:paraId="1460616C"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 xml:space="preserve"> 6 puntos.</w:t>
            </w:r>
          </w:p>
          <w:p w14:paraId="50863A02"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 xml:space="preserve">ACEPTABLE: La oferta cumple las características técnicas solicitadas en el PPT y no presenta </w:t>
            </w:r>
            <w:r w:rsidRPr="00D020D5">
              <w:rPr>
                <w:rFonts w:ascii="Source Sans Pro" w:hAnsi="Source Sans Pro" w:cs="Arial"/>
                <w:sz w:val="20"/>
              </w:rPr>
              <w:lastRenderedPageBreak/>
              <w:t xml:space="preserve">mejoras respecto al parámetro objeto de valoración. </w:t>
            </w:r>
          </w:p>
          <w:p w14:paraId="486C4D65"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 xml:space="preserve"> 0 Punto.</w:t>
            </w:r>
          </w:p>
          <w:p w14:paraId="7DE20064"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2</w:t>
            </w:r>
            <w:r w:rsidRPr="00D020D5">
              <w:rPr>
                <w:rFonts w:ascii="Source Sans Pro" w:hAnsi="Source Sans Pro" w:cs="Arial"/>
                <w:b/>
                <w:sz w:val="20"/>
              </w:rPr>
              <w:t>.- Facilidad de utilización</w:t>
            </w:r>
            <w:r w:rsidRPr="00D020D5">
              <w:rPr>
                <w:rFonts w:ascii="Source Sans Pro" w:hAnsi="Source Sans Pro" w:cs="Arial"/>
                <w:sz w:val="20"/>
              </w:rPr>
              <w:t>: En este parámetro se valorarán las condiciones del producto que hagan sencilla su utilización y la rapidez de programación: 15 puntos.</w:t>
            </w:r>
          </w:p>
          <w:p w14:paraId="62360153"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Escala de puntuación:</w:t>
            </w:r>
          </w:p>
          <w:p w14:paraId="4CDDB6E0"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sz w:val="20"/>
              </w:rPr>
            </w:pPr>
            <w:r w:rsidRPr="00D020D5">
              <w:rPr>
                <w:rFonts w:ascii="Source Sans Pro" w:hAnsi="Source Sans Pro" w:cs="Arial"/>
                <w:sz w:val="20"/>
              </w:rPr>
              <w:t xml:space="preserve">MUY ADECUADO: La oferta cumple las características técnicas solicitadas en el PPT y presenta mejoras significativas respecto al parámetro objeto de valoración. </w:t>
            </w:r>
          </w:p>
          <w:p w14:paraId="70BD9487"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15 puntos.</w:t>
            </w:r>
          </w:p>
          <w:p w14:paraId="33F7E120"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ADECUADO: La oferta cumple las características técnicas solicitadas en el PPT y presenta alguna mejora respecto al parámetro objeto de valoración.</w:t>
            </w:r>
          </w:p>
          <w:p w14:paraId="4784599F"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6 puntos.</w:t>
            </w:r>
          </w:p>
          <w:p w14:paraId="3B6F102A"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ACEPTABLE: La oferta cumple las características técnicas solicitadas en el PPT y no presenta mejoras respecto al parámetro objeto de valoración. </w:t>
            </w:r>
          </w:p>
          <w:p w14:paraId="2ECBE836"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0 Punto.</w:t>
            </w:r>
          </w:p>
          <w:p w14:paraId="5F9827FF"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3.- </w:t>
            </w:r>
            <w:r w:rsidRPr="00D020D5">
              <w:rPr>
                <w:rFonts w:ascii="Source Sans Pro" w:hAnsi="Source Sans Pro" w:cs="Arial"/>
                <w:b/>
                <w:sz w:val="20"/>
              </w:rPr>
              <w:t>Seguridad de resultados</w:t>
            </w:r>
            <w:r w:rsidRPr="00D020D5">
              <w:rPr>
                <w:rFonts w:ascii="Source Sans Pro" w:hAnsi="Source Sans Pro" w:cs="Arial"/>
                <w:sz w:val="20"/>
              </w:rPr>
              <w:t xml:space="preserve">: En este parámetro de valorará la ausencia de riesgo asociada a los productos en todas sus dimensiones (usuarios y profesionales): 15 puntos. </w:t>
            </w:r>
          </w:p>
          <w:p w14:paraId="6B434D4E"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MUY ADECUADO: La oferta cumple las características técnicas solicitadas en el PPT y presenta mejoras significativas respecto al parámetro objeto de valoración. </w:t>
            </w:r>
          </w:p>
          <w:p w14:paraId="0FF9AA37"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15 puntos.</w:t>
            </w:r>
          </w:p>
          <w:p w14:paraId="7803C3A3"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ADECUADO: La oferta cumple las características técnicas solicitadas en el PPT y presenta alguna mejora respecto al parámetro objeto de valoración.</w:t>
            </w:r>
          </w:p>
          <w:p w14:paraId="4375453E"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6 puntos.</w:t>
            </w:r>
          </w:p>
          <w:p w14:paraId="04EE2D46"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ACEPTABLE: La oferta cumple las características técnicas solicitadas en el PPT y no presenta mejoras respecto al parámetro objeto de valoración. </w:t>
            </w:r>
          </w:p>
          <w:p w14:paraId="404B906D"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0 Punto.</w:t>
            </w:r>
          </w:p>
          <w:p w14:paraId="2DF06FB4"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4.- </w:t>
            </w:r>
            <w:r w:rsidRPr="00D020D5">
              <w:rPr>
                <w:rFonts w:ascii="Source Sans Pro" w:hAnsi="Source Sans Pro" w:cs="Arial"/>
                <w:b/>
                <w:sz w:val="20"/>
              </w:rPr>
              <w:t>Eficacia en el resultado</w:t>
            </w:r>
            <w:r w:rsidRPr="00D020D5">
              <w:rPr>
                <w:rFonts w:ascii="Source Sans Pro" w:hAnsi="Source Sans Pro" w:cs="Arial"/>
                <w:sz w:val="20"/>
              </w:rPr>
              <w:t xml:space="preserve">: Capacidad del material utilizado para conseguir los efectos perseguidos o deseados: 5 puntos. </w:t>
            </w:r>
          </w:p>
          <w:p w14:paraId="7BFA1884"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Escala de valoración:</w:t>
            </w:r>
          </w:p>
          <w:p w14:paraId="448B6EC6"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MUY ADECUADO: La oferta cumple las características técnicas solicitadas en el PPT y presenta mejoras significativas respecto al parámetro objeto de valoración. </w:t>
            </w:r>
          </w:p>
          <w:p w14:paraId="34256E48"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lastRenderedPageBreak/>
              <w:t xml:space="preserve"> 5 puntos.</w:t>
            </w:r>
          </w:p>
          <w:p w14:paraId="1B049D85"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ADECUADO: La oferta cumple las características técnicas solicitadas en el PPT y presenta alguna mejora respecto al parámetro objeto de valoración.</w:t>
            </w:r>
          </w:p>
          <w:p w14:paraId="1B1BB73C"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2 puntos.</w:t>
            </w:r>
          </w:p>
          <w:p w14:paraId="115129F4"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ACEPTABLE: La oferta cumple las características técnicas solicitadas en el PPT y no presenta mejoras respecto al parámetro objeto de valoración. </w:t>
            </w:r>
          </w:p>
          <w:p w14:paraId="71C32F1C" w14:textId="77777777" w:rsidR="008C24EA" w:rsidRPr="00D020D5" w:rsidRDefault="008C24EA" w:rsidP="00510963">
            <w:pPr>
              <w:suppressAutoHyphens/>
              <w:spacing w:after="160" w:line="252" w:lineRule="auto"/>
              <w:jc w:val="both"/>
              <w:rPr>
                <w:rFonts w:ascii="Source Sans Pro" w:hAnsi="Source Sans Pro" w:cs="Arial"/>
                <w:sz w:val="20"/>
              </w:rPr>
            </w:pPr>
            <w:r w:rsidRPr="00D020D5">
              <w:rPr>
                <w:rFonts w:ascii="Source Sans Pro" w:hAnsi="Source Sans Pro" w:cs="Arial"/>
                <w:sz w:val="20"/>
              </w:rPr>
              <w:t xml:space="preserve"> 0 Punto.</w:t>
            </w:r>
          </w:p>
          <w:p w14:paraId="67F32B39" w14:textId="77777777" w:rsidR="008C24EA" w:rsidRPr="00D020D5" w:rsidRDefault="008C24EA" w:rsidP="00510963">
            <w:pPr>
              <w:tabs>
                <w:tab w:val="left" w:pos="1985"/>
                <w:tab w:val="left" w:pos="5103"/>
                <w:tab w:val="left" w:pos="7655"/>
              </w:tabs>
              <w:suppressAutoHyphens/>
              <w:spacing w:after="160" w:line="252" w:lineRule="auto"/>
              <w:ind w:right="-1"/>
              <w:jc w:val="both"/>
              <w:rPr>
                <w:rFonts w:ascii="Source Sans Pro" w:hAnsi="Source Sans Pro" w:cs="Arial"/>
                <w:b/>
                <w:bCs/>
                <w:sz w:val="20"/>
              </w:rPr>
            </w:pPr>
          </w:p>
        </w:tc>
        <w:tc>
          <w:tcPr>
            <w:tcW w:w="23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76CE12D4" w14:textId="77777777" w:rsidR="008C24EA" w:rsidRPr="00D020D5" w:rsidRDefault="008C24EA" w:rsidP="00510963">
            <w:pPr>
              <w:tabs>
                <w:tab w:val="left" w:pos="1985"/>
                <w:tab w:val="left" w:pos="5103"/>
                <w:tab w:val="left" w:pos="7655"/>
              </w:tabs>
              <w:suppressAutoHyphens/>
              <w:snapToGrid w:val="0"/>
              <w:spacing w:after="160" w:line="252" w:lineRule="auto"/>
              <w:ind w:right="-1"/>
              <w:jc w:val="both"/>
              <w:rPr>
                <w:rFonts w:ascii="Source Sans Pro" w:eastAsia="Calibri" w:hAnsi="Source Sans Pro" w:cs="Arial"/>
                <w:b/>
                <w:kern w:val="2"/>
                <w:sz w:val="16"/>
                <w:szCs w:val="16"/>
                <w:lang w:eastAsia="zh-CN"/>
              </w:rPr>
            </w:pPr>
          </w:p>
        </w:tc>
      </w:tr>
    </w:tbl>
    <w:p w14:paraId="77C413A3" w14:textId="77777777" w:rsidR="008C24EA" w:rsidRPr="00D020D5" w:rsidRDefault="008C24EA" w:rsidP="008C24EA">
      <w:pPr>
        <w:jc w:val="both"/>
        <w:rPr>
          <w:rFonts w:ascii="Source Sans Pro" w:hAnsi="Source Sans Pro" w:cs="Arial"/>
          <w:b/>
          <w:sz w:val="20"/>
        </w:rPr>
      </w:pPr>
    </w:p>
    <w:p w14:paraId="38325671" w14:textId="77777777" w:rsidR="008C24EA" w:rsidRPr="00D020D5" w:rsidRDefault="008C24EA" w:rsidP="008C24EA">
      <w:pPr>
        <w:jc w:val="both"/>
        <w:rPr>
          <w:rFonts w:ascii="Source Sans Pro" w:hAnsi="Source Sans Pro" w:cs="Arial"/>
          <w:b/>
          <w:sz w:val="20"/>
        </w:rPr>
      </w:pPr>
    </w:p>
    <w:p w14:paraId="7E2AFB33" w14:textId="77777777" w:rsidR="008C24EA" w:rsidRPr="00D020D5" w:rsidRDefault="008C24EA" w:rsidP="008C24EA">
      <w:pPr>
        <w:jc w:val="both"/>
        <w:rPr>
          <w:rFonts w:ascii="Source Sans Pro" w:hAnsi="Source Sans Pro" w:cs="Arial"/>
          <w:b/>
          <w:sz w:val="20"/>
        </w:rPr>
      </w:pPr>
      <w:r w:rsidRPr="00D020D5">
        <w:rPr>
          <w:rFonts w:ascii="Source Sans Pro" w:hAnsi="Source Sans Pro" w:cs="Arial"/>
          <w:b/>
          <w:sz w:val="20"/>
        </w:rPr>
        <w:t xml:space="preserve">Umbral mínimo: </w:t>
      </w:r>
    </w:p>
    <w:p w14:paraId="51F3BEAD" w14:textId="77777777" w:rsidR="008C24EA" w:rsidRPr="00D020D5" w:rsidRDefault="008C24EA" w:rsidP="008C24EA">
      <w:pPr>
        <w:jc w:val="both"/>
        <w:rPr>
          <w:rFonts w:ascii="Source Sans Pro" w:hAnsi="Source Sans Pro" w:cs="Arial"/>
          <w:sz w:val="20"/>
        </w:rPr>
      </w:pPr>
    </w:p>
    <w:p w14:paraId="0EE6C319" w14:textId="77777777" w:rsidR="008C24EA" w:rsidRPr="00D020D5" w:rsidRDefault="008C24EA" w:rsidP="008C24EA">
      <w:pPr>
        <w:jc w:val="both"/>
        <w:rPr>
          <w:rFonts w:ascii="Source Sans Pro" w:hAnsi="Source Sans Pro" w:cs="Arial"/>
          <w:sz w:val="20"/>
        </w:rPr>
      </w:pPr>
      <w:r w:rsidRPr="00D020D5">
        <w:rPr>
          <w:rFonts w:ascii="Source Sans Pro" w:hAnsi="Source Sans Pro" w:cs="Arial"/>
          <w:sz w:val="20"/>
        </w:rPr>
        <w:t>Aquellas ofertas que no alcancen un mínimo de 25 puntos del total de puntuación, en los criterios basados en juicio de valor, quedarán excluidas y no podrá continuar en el proceso selectivo de determinación de la oferta económicamente más ventajosa.</w:t>
      </w:r>
    </w:p>
    <w:p w14:paraId="45D75E2A" w14:textId="77777777" w:rsidR="008C24EA" w:rsidRPr="00D020D5" w:rsidRDefault="008C24EA" w:rsidP="008C24EA">
      <w:pPr>
        <w:jc w:val="both"/>
        <w:rPr>
          <w:rFonts w:ascii="Source Sans Pro" w:hAnsi="Source Sans Pro" w:cs="Arial"/>
          <w:sz w:val="20"/>
        </w:rPr>
      </w:pPr>
    </w:p>
    <w:p w14:paraId="7244410E" w14:textId="77777777" w:rsidR="008C24EA" w:rsidRPr="00D020D5" w:rsidRDefault="008C24EA" w:rsidP="008C24EA">
      <w:pPr>
        <w:jc w:val="both"/>
        <w:rPr>
          <w:rFonts w:ascii="Source Sans Pro" w:hAnsi="Source Sans Pro" w:cs="Arial"/>
          <w:sz w:val="20"/>
        </w:rPr>
      </w:pPr>
      <w:r w:rsidRPr="00D020D5">
        <w:rPr>
          <w:rFonts w:ascii="Source Sans Pro" w:hAnsi="Source Sans Pro" w:cs="Arial"/>
          <w:sz w:val="20"/>
        </w:rPr>
        <w:t>Si la oferta no cumple las características técnicas recogidas en el Cuadro Resumen, el PCAP o el PPT, se considerará NO ADECUADA y quedará excluida de la licitación.</w:t>
      </w:r>
    </w:p>
    <w:p w14:paraId="3F80A115" w14:textId="77777777" w:rsidR="008C24EA" w:rsidRPr="00D020D5" w:rsidRDefault="008C24EA" w:rsidP="008C24EA">
      <w:pPr>
        <w:jc w:val="both"/>
        <w:rPr>
          <w:rFonts w:ascii="Source Sans Pro" w:hAnsi="Source Sans Pro" w:cs="Arial"/>
          <w:sz w:val="20"/>
        </w:rPr>
      </w:pPr>
    </w:p>
    <w:p w14:paraId="44B08B27" w14:textId="77777777" w:rsidR="008C24EA" w:rsidRPr="00D020D5" w:rsidRDefault="008C24EA" w:rsidP="008C24EA">
      <w:pPr>
        <w:jc w:val="both"/>
        <w:rPr>
          <w:rFonts w:ascii="Source Sans Pro" w:hAnsi="Source Sans Pro" w:cs="Arial"/>
          <w:sz w:val="20"/>
        </w:rPr>
      </w:pPr>
      <w:r w:rsidRPr="00D020D5">
        <w:rPr>
          <w:rFonts w:ascii="Source Sans Pro" w:hAnsi="Source Sans Pro" w:cs="Arial"/>
          <w:sz w:val="20"/>
        </w:rPr>
        <w:t>En cualquier caso, se considerará NO ADECUADA:</w:t>
      </w:r>
    </w:p>
    <w:p w14:paraId="43D73FEB" w14:textId="77777777" w:rsidR="008C24EA" w:rsidRPr="00D020D5" w:rsidRDefault="008C24EA" w:rsidP="008C24EA">
      <w:pPr>
        <w:jc w:val="both"/>
        <w:rPr>
          <w:rFonts w:ascii="Source Sans Pro" w:hAnsi="Source Sans Pro" w:cs="Arial"/>
          <w:sz w:val="20"/>
        </w:rPr>
      </w:pPr>
    </w:p>
    <w:p w14:paraId="33BBF1AA" w14:textId="77777777" w:rsidR="008C24EA" w:rsidRPr="00D020D5" w:rsidRDefault="008C24EA" w:rsidP="008C24EA">
      <w:pPr>
        <w:widowControl/>
        <w:numPr>
          <w:ilvl w:val="0"/>
          <w:numId w:val="3"/>
        </w:numPr>
        <w:jc w:val="both"/>
        <w:rPr>
          <w:rFonts w:ascii="Source Sans Pro" w:hAnsi="Source Sans Pro" w:cs="Arial"/>
          <w:sz w:val="20"/>
        </w:rPr>
      </w:pPr>
      <w:r w:rsidRPr="00D020D5">
        <w:rPr>
          <w:rFonts w:ascii="Source Sans Pro" w:hAnsi="Source Sans Pro" w:cs="Arial"/>
          <w:sz w:val="20"/>
        </w:rPr>
        <w:t>Aquellos artículos que cumpliendo las prescripciones técnicas establecidas presentan deficiencias en ergonomía, en la facilidad de uso y/o en la seguridad de manejo.</w:t>
      </w:r>
    </w:p>
    <w:p w14:paraId="4C32D1B0" w14:textId="77777777" w:rsidR="008C24EA" w:rsidRPr="00D020D5" w:rsidRDefault="008C24EA" w:rsidP="008C24EA">
      <w:pPr>
        <w:jc w:val="both"/>
        <w:rPr>
          <w:rFonts w:ascii="Source Sans Pro" w:hAnsi="Source Sans Pro" w:cs="Arial"/>
          <w:b/>
          <w:sz w:val="20"/>
        </w:rPr>
      </w:pPr>
    </w:p>
    <w:p w14:paraId="54A318FD" w14:textId="77777777" w:rsidR="008C24EA" w:rsidRPr="005705FE" w:rsidRDefault="008C24EA" w:rsidP="008C24EA">
      <w:pPr>
        <w:widowControl/>
        <w:numPr>
          <w:ilvl w:val="0"/>
          <w:numId w:val="3"/>
        </w:numPr>
        <w:jc w:val="both"/>
        <w:rPr>
          <w:rFonts w:ascii="Source Sans Pro" w:hAnsi="Source Sans Pro" w:cs="Arial"/>
          <w:sz w:val="20"/>
        </w:rPr>
      </w:pPr>
      <w:r w:rsidRPr="005705FE">
        <w:rPr>
          <w:rFonts w:ascii="Source Sans Pro" w:hAnsi="Source Sans Pro" w:cs="Arial"/>
          <w:sz w:val="20"/>
        </w:rPr>
        <w:t xml:space="preserve">Aquellos artículos no asociados a los </w:t>
      </w:r>
      <w:proofErr w:type="spellStart"/>
      <w:r w:rsidRPr="005705FE">
        <w:rPr>
          <w:rFonts w:ascii="Source Sans Pro" w:hAnsi="Source Sans Pro" w:cs="Arial"/>
          <w:sz w:val="20"/>
        </w:rPr>
        <w:t>GCs</w:t>
      </w:r>
      <w:proofErr w:type="spellEnd"/>
      <w:r w:rsidRPr="005705FE">
        <w:rPr>
          <w:rFonts w:ascii="Source Sans Pro" w:hAnsi="Source Sans Pro" w:cs="Arial"/>
          <w:sz w:val="20"/>
        </w:rPr>
        <w:t xml:space="preserve"> </w:t>
      </w:r>
      <w:proofErr w:type="spellStart"/>
      <w:r w:rsidRPr="005705FE">
        <w:rPr>
          <w:rFonts w:ascii="Source Sans Pro" w:hAnsi="Source Sans Pro" w:cs="Arial"/>
          <w:sz w:val="20"/>
        </w:rPr>
        <w:t>ó</w:t>
      </w:r>
      <w:proofErr w:type="spellEnd"/>
      <w:r w:rsidRPr="005705FE">
        <w:rPr>
          <w:rFonts w:ascii="Source Sans Pro" w:hAnsi="Source Sans Pro" w:cs="Arial"/>
          <w:sz w:val="20"/>
        </w:rPr>
        <w:t xml:space="preserve"> al código S.A.S objeto de licitación.</w:t>
      </w:r>
    </w:p>
    <w:p w14:paraId="100289C4" w14:textId="77777777" w:rsidR="008C24EA" w:rsidRPr="00D020D5" w:rsidRDefault="008C24EA" w:rsidP="008C24EA">
      <w:pPr>
        <w:jc w:val="both"/>
        <w:rPr>
          <w:rFonts w:ascii="Source Sans Pro" w:hAnsi="Source Sans Pro" w:cs="Arial"/>
          <w:sz w:val="20"/>
        </w:rPr>
      </w:pPr>
    </w:p>
    <w:p w14:paraId="4C6BCE3D" w14:textId="77777777" w:rsidR="008C24EA" w:rsidRPr="00D020D5" w:rsidRDefault="008C24EA" w:rsidP="008C24EA">
      <w:pPr>
        <w:jc w:val="both"/>
        <w:rPr>
          <w:rFonts w:ascii="Source Sans Pro" w:hAnsi="Source Sans Pro" w:cs="Arial"/>
          <w:sz w:val="20"/>
        </w:rPr>
      </w:pPr>
    </w:p>
    <w:p w14:paraId="5ED3D02D" w14:textId="77777777" w:rsidR="008C24EA" w:rsidRPr="00D020D5" w:rsidRDefault="008C24EA" w:rsidP="008C24EA">
      <w:pPr>
        <w:jc w:val="both"/>
        <w:rPr>
          <w:rFonts w:ascii="Source Sans Pro" w:hAnsi="Source Sans Pro" w:cs="Arial"/>
          <w:b/>
          <w:sz w:val="20"/>
        </w:rPr>
      </w:pPr>
      <w:r w:rsidRPr="00D020D5">
        <w:rPr>
          <w:rFonts w:ascii="Source Sans Pro" w:hAnsi="Source Sans Pro" w:cs="Arial"/>
          <w:b/>
          <w:sz w:val="20"/>
        </w:rPr>
        <w:t>CRITERIOS PARA LA VALORACIÓN TÉCNICA DE LAS AGRUPACIONES DE LOTES</w:t>
      </w:r>
    </w:p>
    <w:p w14:paraId="7EE63C44" w14:textId="77777777" w:rsidR="008C24EA" w:rsidRPr="00D020D5" w:rsidRDefault="008C24EA" w:rsidP="008C24EA">
      <w:pPr>
        <w:jc w:val="both"/>
        <w:rPr>
          <w:rFonts w:ascii="Source Sans Pro" w:hAnsi="Source Sans Pro" w:cs="Arial"/>
          <w:sz w:val="20"/>
        </w:rPr>
      </w:pPr>
    </w:p>
    <w:p w14:paraId="61A2E873" w14:textId="77777777" w:rsidR="008C24EA" w:rsidRPr="00D020D5" w:rsidRDefault="008C24EA" w:rsidP="008C24EA">
      <w:pPr>
        <w:jc w:val="both"/>
        <w:rPr>
          <w:rFonts w:ascii="Source Sans Pro" w:hAnsi="Source Sans Pro" w:cs="Arial"/>
          <w:sz w:val="20"/>
        </w:rPr>
      </w:pPr>
      <w:r w:rsidRPr="00D020D5">
        <w:rPr>
          <w:rFonts w:ascii="Source Sans Pro" w:hAnsi="Source Sans Pro" w:cs="Arial"/>
          <w:sz w:val="20"/>
        </w:rPr>
        <w:t xml:space="preserve">Las Agrupaciones de lotes serán valoradas de acuerdo con los siguientes criterios: </w:t>
      </w:r>
    </w:p>
    <w:p w14:paraId="41BC6569" w14:textId="77777777" w:rsidR="008C24EA" w:rsidRPr="00D020D5" w:rsidRDefault="008C24EA" w:rsidP="008C24EA">
      <w:pPr>
        <w:jc w:val="both"/>
        <w:rPr>
          <w:rFonts w:ascii="Source Sans Pro" w:hAnsi="Source Sans Pro" w:cs="Arial"/>
          <w:sz w:val="20"/>
        </w:rPr>
      </w:pPr>
    </w:p>
    <w:p w14:paraId="738B3A9E" w14:textId="77777777" w:rsidR="008C24EA" w:rsidRPr="00D020D5" w:rsidRDefault="008C24EA" w:rsidP="008C24EA">
      <w:pPr>
        <w:jc w:val="both"/>
        <w:rPr>
          <w:rFonts w:ascii="Source Sans Pro" w:hAnsi="Source Sans Pro" w:cs="Arial"/>
          <w:sz w:val="20"/>
        </w:rPr>
      </w:pPr>
      <w:r w:rsidRPr="00D020D5">
        <w:rPr>
          <w:rFonts w:ascii="Source Sans Pro" w:hAnsi="Source Sans Pro" w:cs="Arial"/>
          <w:sz w:val="20"/>
        </w:rPr>
        <w:t>-</w:t>
      </w:r>
      <w:r w:rsidRPr="00D020D5">
        <w:rPr>
          <w:rFonts w:ascii="Source Sans Pro" w:hAnsi="Source Sans Pro" w:cs="Arial"/>
          <w:sz w:val="20"/>
        </w:rPr>
        <w:tab/>
        <w:t>La Agrupación será valorada de forma global y la puntuación final de la misma será la media de la puntuación obtenida por cada uno de los lotes que la integran, siempre que los artículos ofertados en cada uno de ellos alcancen el umbral mínimo establecido.</w:t>
      </w:r>
    </w:p>
    <w:p w14:paraId="3F54B88F" w14:textId="77777777" w:rsidR="008C24EA" w:rsidRPr="00D020D5" w:rsidRDefault="008C24EA" w:rsidP="008C24EA">
      <w:pPr>
        <w:jc w:val="both"/>
        <w:rPr>
          <w:rFonts w:ascii="Source Sans Pro" w:hAnsi="Source Sans Pro" w:cs="Arial"/>
          <w:sz w:val="20"/>
        </w:rPr>
      </w:pPr>
    </w:p>
    <w:p w14:paraId="303914DA" w14:textId="77777777" w:rsidR="008C24EA" w:rsidRDefault="008C24EA" w:rsidP="008C24EA">
      <w:pPr>
        <w:jc w:val="both"/>
        <w:rPr>
          <w:rFonts w:ascii="Source Sans Pro" w:hAnsi="Source Sans Pro" w:cs="Arial"/>
          <w:sz w:val="20"/>
        </w:rPr>
      </w:pPr>
      <w:r w:rsidRPr="00D020D5">
        <w:rPr>
          <w:rFonts w:ascii="Source Sans Pro" w:hAnsi="Source Sans Pro" w:cs="Arial"/>
          <w:sz w:val="20"/>
        </w:rPr>
        <w:t>-</w:t>
      </w:r>
      <w:r w:rsidRPr="00D020D5">
        <w:rPr>
          <w:rFonts w:ascii="Source Sans Pro" w:hAnsi="Source Sans Pro" w:cs="Arial"/>
          <w:sz w:val="20"/>
        </w:rPr>
        <w:tab/>
        <w:t xml:space="preserve">Si alguno de los artículos ofertados en la Agrupación no consigue la puntuación que determina el umbral </w:t>
      </w:r>
    </w:p>
    <w:p w14:paraId="18E1ACF0" w14:textId="77777777" w:rsidR="008C24EA" w:rsidRDefault="008C24EA" w:rsidP="008C24EA">
      <w:pPr>
        <w:jc w:val="both"/>
        <w:rPr>
          <w:rFonts w:ascii="Source Sans Pro" w:hAnsi="Source Sans Pro" w:cs="Arial"/>
          <w:sz w:val="20"/>
        </w:rPr>
      </w:pPr>
      <w:bookmarkStart w:id="0" w:name="_GoBack"/>
      <w:bookmarkEnd w:id="0"/>
    </w:p>
    <w:p w14:paraId="24B44071" w14:textId="77777777" w:rsidR="008C24EA" w:rsidRDefault="008C24EA" w:rsidP="008C24EA">
      <w:pPr>
        <w:jc w:val="both"/>
        <w:rPr>
          <w:rFonts w:ascii="Source Sans Pro" w:eastAsia="Noto Sans HK Light" w:hAnsi="Source Sans Pro" w:cs="Noto Sans"/>
          <w:sz w:val="20"/>
        </w:rPr>
      </w:pPr>
      <w:r w:rsidRPr="00D020D5">
        <w:rPr>
          <w:rFonts w:ascii="Source Sans Pro" w:hAnsi="Source Sans Pro" w:cs="Arial"/>
          <w:sz w:val="20"/>
        </w:rPr>
        <w:t xml:space="preserve">mínimo exigido, se entenderá que la oferta no alcanza dicho umbral, quedando excluida de la licitación. </w:t>
      </w:r>
    </w:p>
    <w:p w14:paraId="3218ECF1" w14:textId="77777777" w:rsidR="008C24EA" w:rsidRPr="00D020D5" w:rsidRDefault="008C24EA" w:rsidP="008C24EA">
      <w:pPr>
        <w:tabs>
          <w:tab w:val="right" w:pos="9921"/>
        </w:tabs>
        <w:spacing w:line="276" w:lineRule="auto"/>
        <w:ind w:left="709" w:right="142"/>
        <w:jc w:val="both"/>
        <w:rPr>
          <w:rFonts w:ascii="Source Sans Pro" w:eastAsia="Noto Sans HK Light" w:hAnsi="Source Sans Pro" w:cs="Noto Sans"/>
          <w:sz w:val="20"/>
        </w:rPr>
      </w:pPr>
    </w:p>
    <w:p w14:paraId="0146B4BE"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sz w:val="20"/>
          <w:u w:val="single"/>
        </w:rPr>
      </w:pPr>
    </w:p>
    <w:p w14:paraId="109092AD" w14:textId="77777777" w:rsidR="008C24EA" w:rsidRPr="00D020D5" w:rsidRDefault="008C24EA" w:rsidP="008C24EA">
      <w:pPr>
        <w:tabs>
          <w:tab w:val="right" w:pos="9921"/>
        </w:tabs>
        <w:spacing w:line="276" w:lineRule="auto"/>
        <w:ind w:right="142" w:firstLine="708"/>
        <w:jc w:val="both"/>
        <w:rPr>
          <w:rFonts w:ascii="Source Sans Pro" w:eastAsia="Noto Sans HK Light" w:hAnsi="Source Sans Pro" w:cs="Noto Sans"/>
          <w:b/>
          <w:sz w:val="20"/>
        </w:rPr>
      </w:pPr>
      <w:r w:rsidRPr="00D020D5">
        <w:rPr>
          <w:rFonts w:ascii="Source Sans Pro" w:eastAsia="Noto Sans HK Light" w:hAnsi="Source Sans Pro" w:cs="Noto Sans"/>
          <w:b/>
          <w:sz w:val="20"/>
        </w:rPr>
        <w:lastRenderedPageBreak/>
        <w:t>CRITERIOS DE VALORACIÓN AUTOMÁTICOS (Sobre electrónico nº 3) (50 puntos):</w:t>
      </w:r>
    </w:p>
    <w:p w14:paraId="1557AC6D"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sz w:val="20"/>
          <w:u w:val="single"/>
        </w:rPr>
      </w:pPr>
    </w:p>
    <w:p w14:paraId="7FEEAB26" w14:textId="7E3878CE" w:rsidR="008C24EA" w:rsidRPr="00D020D5" w:rsidRDefault="008C24EA" w:rsidP="008C24EA">
      <w:pPr>
        <w:widowControl/>
        <w:spacing w:after="240" w:line="276" w:lineRule="auto"/>
        <w:jc w:val="both"/>
        <w:rPr>
          <w:rFonts w:ascii="Source Sans Pro" w:eastAsia="Noto Sans HK Light" w:hAnsi="Source Sans Pro" w:cs="Noto Sans"/>
          <w:bCs/>
          <w:snapToGrid/>
          <w:sz w:val="20"/>
          <w:lang w:val="es-ES_tradnl"/>
        </w:rPr>
      </w:pPr>
      <w:r w:rsidRPr="00D020D5">
        <w:rPr>
          <w:rFonts w:ascii="Source Sans Pro" w:eastAsia="Noto Sans HK Light" w:hAnsi="Source Sans Pro" w:cs="Noto Sans"/>
          <w:bCs/>
          <w:snapToGrid/>
          <w:sz w:val="20"/>
          <w:lang w:val="es-ES_tradnl"/>
        </w:rPr>
        <w:t>Se asignará el máximo de puntuación a la oferta de precio inferior con respecto al precio de licitación del lote al que se concurra, asignándose la puntuación al resto de las ofertas mediante proporcionalidad inversa.</w:t>
      </w:r>
    </w:p>
    <w:p w14:paraId="0228D6DB" w14:textId="77777777" w:rsidR="008C24EA" w:rsidRPr="00D020D5" w:rsidRDefault="008C24EA" w:rsidP="008C24EA">
      <w:pPr>
        <w:widowControl/>
        <w:spacing w:line="276" w:lineRule="auto"/>
        <w:jc w:val="both"/>
        <w:rPr>
          <w:rFonts w:ascii="Source Sans Pro" w:eastAsia="Noto Sans HK Light" w:hAnsi="Source Sans Pro" w:cs="Noto Sans"/>
          <w:bCs/>
          <w:snapToGrid/>
          <w:sz w:val="20"/>
          <w:lang w:val="es-ES_tradnl"/>
        </w:rPr>
      </w:pPr>
      <w:r w:rsidRPr="00D020D5">
        <w:rPr>
          <w:rFonts w:ascii="Source Sans Pro" w:eastAsia="Noto Sans HK Light" w:hAnsi="Source Sans Pro" w:cs="Noto Sans"/>
          <w:bCs/>
          <w:snapToGrid/>
          <w:sz w:val="20"/>
          <w:lang w:val="es-ES_tradnl"/>
        </w:rPr>
        <w:t>Proporcionalidad inversa: Puntuación máxima=Mejor oferta económica</w:t>
      </w:r>
    </w:p>
    <w:p w14:paraId="73C74162" w14:textId="77777777" w:rsidR="008C24EA" w:rsidRPr="00D020D5" w:rsidRDefault="008C24EA" w:rsidP="008C24EA">
      <w:pPr>
        <w:widowControl/>
        <w:spacing w:line="276" w:lineRule="auto"/>
        <w:jc w:val="both"/>
        <w:rPr>
          <w:rFonts w:ascii="Source Sans Pro" w:eastAsia="Noto Sans HK Light" w:hAnsi="Source Sans Pro" w:cs="Noto Sans"/>
          <w:bCs/>
          <w:snapToGrid/>
          <w:sz w:val="20"/>
          <w:lang w:val="es-ES_tradnl"/>
        </w:rPr>
      </w:pPr>
      <w:r w:rsidRPr="00D020D5">
        <w:rPr>
          <w:rFonts w:ascii="Source Sans Pro" w:eastAsia="Noto Sans HK Light" w:hAnsi="Source Sans Pro" w:cs="Noto Sans"/>
          <w:bCs/>
          <w:snapToGrid/>
          <w:sz w:val="20"/>
          <w:lang w:val="es-ES_tradnl"/>
        </w:rPr>
        <w:t>Restantes puntuaciones: Puntuación máxima x importe de la oferta más económica / importe oferta objeto puntuación.</w:t>
      </w:r>
    </w:p>
    <w:p w14:paraId="3E2444CA"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sz w:val="20"/>
        </w:rPr>
      </w:pPr>
    </w:p>
    <w:tbl>
      <w:tblPr>
        <w:tblpPr w:leftFromText="141" w:rightFromText="141" w:vertAnchor="text" w:horzAnchor="margin" w:tblpY="1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1055"/>
        <w:gridCol w:w="900"/>
        <w:gridCol w:w="4112"/>
        <w:gridCol w:w="1304"/>
      </w:tblGrid>
      <w:tr w:rsidR="008C24EA" w:rsidRPr="00D020D5" w14:paraId="410AD4FA" w14:textId="77777777" w:rsidTr="00510963">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6FD16D"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Nº</w:t>
            </w:r>
          </w:p>
        </w:tc>
        <w:tc>
          <w:tcPr>
            <w:tcW w:w="158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C2067C"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DESCRIPCION</w:t>
            </w:r>
          </w:p>
        </w:tc>
        <w:tc>
          <w:tcPr>
            <w:tcW w:w="10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A7F8C41"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EVAL. AUT</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345ED8"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POND.</w:t>
            </w:r>
          </w:p>
        </w:tc>
        <w:tc>
          <w:tcPr>
            <w:tcW w:w="411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277E61"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FORMULA EVALUACIÓN AUTOMÁTICA</w:t>
            </w:r>
          </w:p>
        </w:tc>
        <w:tc>
          <w:tcPr>
            <w:tcW w:w="13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4281717"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UMBRAL MINIMO</w:t>
            </w:r>
          </w:p>
        </w:tc>
      </w:tr>
      <w:tr w:rsidR="008C24EA" w:rsidRPr="00D020D5" w14:paraId="01AB5C0D" w14:textId="77777777" w:rsidTr="00510963">
        <w:trPr>
          <w:trHeight w:val="1769"/>
        </w:trPr>
        <w:tc>
          <w:tcPr>
            <w:tcW w:w="675" w:type="dxa"/>
            <w:tcBorders>
              <w:top w:val="single" w:sz="4" w:space="0" w:color="auto"/>
              <w:left w:val="single" w:sz="4" w:space="0" w:color="auto"/>
              <w:bottom w:val="single" w:sz="4" w:space="0" w:color="auto"/>
              <w:right w:val="single" w:sz="4" w:space="0" w:color="auto"/>
            </w:tcBorders>
            <w:vAlign w:val="center"/>
            <w:hideMark/>
          </w:tcPr>
          <w:p w14:paraId="57994BF7"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1</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F043812"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OFERTA ECONÓMICA</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FE7CF3F"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SI</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069362"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50</w:t>
            </w:r>
          </w:p>
        </w:tc>
        <w:tc>
          <w:tcPr>
            <w:tcW w:w="4112" w:type="dxa"/>
            <w:tcBorders>
              <w:top w:val="single" w:sz="4" w:space="0" w:color="auto"/>
              <w:left w:val="single" w:sz="4" w:space="0" w:color="auto"/>
              <w:bottom w:val="single" w:sz="4" w:space="0" w:color="auto"/>
              <w:right w:val="single" w:sz="4" w:space="0" w:color="auto"/>
            </w:tcBorders>
          </w:tcPr>
          <w:p w14:paraId="1650D4DF"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p>
          <w:p w14:paraId="36032051"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Se asignará la puntuación máxima (50 puntos) a la oferta de precio inferior. Para el resto de ofertas, la puntuación se determinará de manera proporcional inversa, respecto a la mejor oferta.</w:t>
            </w:r>
          </w:p>
          <w:p w14:paraId="30FB8AD5"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p>
          <w:p w14:paraId="3D09EB31"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r w:rsidRPr="00D020D5">
              <w:rPr>
                <w:rFonts w:ascii="Source Sans Pro" w:eastAsia="Noto Sans HK Light" w:hAnsi="Source Sans Pro" w:cs="Noto Sans"/>
                <w:sz w:val="20"/>
              </w:rPr>
              <w:t>(Puntuación máxima x importe más económica / importe objeto puntuación)</w:t>
            </w:r>
          </w:p>
        </w:tc>
        <w:tc>
          <w:tcPr>
            <w:tcW w:w="1304" w:type="dxa"/>
            <w:tcBorders>
              <w:top w:val="single" w:sz="4" w:space="0" w:color="auto"/>
              <w:left w:val="single" w:sz="4" w:space="0" w:color="auto"/>
              <w:bottom w:val="single" w:sz="4" w:space="0" w:color="auto"/>
              <w:right w:val="single" w:sz="4" w:space="0" w:color="auto"/>
            </w:tcBorders>
          </w:tcPr>
          <w:p w14:paraId="40907A29" w14:textId="77777777" w:rsidR="008C24EA" w:rsidRPr="00D020D5" w:rsidRDefault="008C24EA" w:rsidP="00510963">
            <w:pPr>
              <w:tabs>
                <w:tab w:val="right" w:pos="9921"/>
              </w:tabs>
              <w:spacing w:line="276" w:lineRule="auto"/>
              <w:ind w:right="142"/>
              <w:jc w:val="both"/>
              <w:rPr>
                <w:rFonts w:ascii="Source Sans Pro" w:eastAsia="Noto Sans HK Light" w:hAnsi="Source Sans Pro" w:cs="Noto Sans"/>
                <w:sz w:val="20"/>
              </w:rPr>
            </w:pPr>
          </w:p>
        </w:tc>
      </w:tr>
    </w:tbl>
    <w:p w14:paraId="25F71A71"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sz w:val="20"/>
        </w:rPr>
      </w:pPr>
    </w:p>
    <w:p w14:paraId="13BE31FB" w14:textId="77777777" w:rsidR="008C24EA" w:rsidRPr="00D020D5" w:rsidRDefault="008C24EA" w:rsidP="008C24EA">
      <w:pPr>
        <w:widowControl/>
        <w:spacing w:line="276" w:lineRule="auto"/>
        <w:jc w:val="both"/>
        <w:rPr>
          <w:rFonts w:ascii="Source Sans Pro" w:eastAsia="Noto Sans HK Light" w:hAnsi="Source Sans Pro" w:cs="Noto Sans"/>
          <w:bCs/>
          <w:snapToGrid/>
          <w:sz w:val="20"/>
        </w:rPr>
      </w:pPr>
      <w:r w:rsidRPr="00D020D5">
        <w:rPr>
          <w:rFonts w:ascii="Source Sans Pro" w:eastAsia="Noto Sans HK Light" w:hAnsi="Source Sans Pro" w:cs="Noto Sans"/>
          <w:bCs/>
          <w:snapToGrid/>
          <w:sz w:val="20"/>
        </w:rPr>
        <w:t xml:space="preserve">Las Agrupaciones de lotes serán valoradas en esta fase (precio) de acuerdo con los siguientes criterios: </w:t>
      </w:r>
    </w:p>
    <w:p w14:paraId="029014E6" w14:textId="77777777" w:rsidR="008C24EA" w:rsidRPr="00D020D5" w:rsidRDefault="008C24EA" w:rsidP="008C24EA">
      <w:pPr>
        <w:widowControl/>
        <w:spacing w:line="276" w:lineRule="auto"/>
        <w:jc w:val="both"/>
        <w:rPr>
          <w:rFonts w:ascii="Source Sans Pro" w:eastAsia="Noto Sans HK Light" w:hAnsi="Source Sans Pro" w:cs="Noto Sans"/>
          <w:bCs/>
          <w:snapToGrid/>
          <w:sz w:val="20"/>
        </w:rPr>
      </w:pPr>
    </w:p>
    <w:p w14:paraId="6C7E5D32" w14:textId="77777777" w:rsidR="008C24EA" w:rsidRPr="00851F9E" w:rsidRDefault="008C24EA" w:rsidP="008C24EA">
      <w:pPr>
        <w:widowControl/>
        <w:numPr>
          <w:ilvl w:val="0"/>
          <w:numId w:val="1"/>
        </w:numPr>
        <w:spacing w:line="276" w:lineRule="auto"/>
        <w:jc w:val="both"/>
        <w:rPr>
          <w:rFonts w:ascii="Source Sans Pro" w:eastAsia="Noto Sans HK Light" w:hAnsi="Source Sans Pro" w:cs="Noto Sans"/>
          <w:bCs/>
          <w:snapToGrid/>
          <w:sz w:val="20"/>
        </w:rPr>
      </w:pPr>
      <w:r w:rsidRPr="00851F9E">
        <w:rPr>
          <w:rFonts w:ascii="Source Sans Pro" w:eastAsia="Noto Sans HK Light" w:hAnsi="Source Sans Pro" w:cs="Noto Sans"/>
          <w:bCs/>
          <w:snapToGrid/>
          <w:sz w:val="20"/>
        </w:rPr>
        <w:t xml:space="preserve">La Agrupación será valorada de forma global y la puntuación final (fase precio) de la misma, será la media ponderada de la puntuación obtenida por cada uno de los lotes que la integran. Para el cálculo de la media ponderada se tomará como ponderación el valor estimado del conjunto de contratos previstos de la agrupación sobre el valor estimado del conjunto de contratos previstos de cada lote. </w:t>
      </w:r>
    </w:p>
    <w:p w14:paraId="46CA365C" w14:textId="77777777" w:rsidR="008C24EA" w:rsidRPr="00D020D5" w:rsidRDefault="008C24EA" w:rsidP="008C24EA">
      <w:pPr>
        <w:widowControl/>
        <w:spacing w:line="276" w:lineRule="auto"/>
        <w:jc w:val="both"/>
        <w:rPr>
          <w:rFonts w:ascii="Source Sans Pro" w:eastAsia="Noto Sans HK Light" w:hAnsi="Source Sans Pro" w:cs="Noto Sans"/>
          <w:bCs/>
          <w:snapToGrid/>
          <w:sz w:val="20"/>
        </w:rPr>
      </w:pPr>
    </w:p>
    <w:p w14:paraId="56944741" w14:textId="77777777" w:rsidR="008C24EA" w:rsidRPr="00D020D5" w:rsidRDefault="008C24EA" w:rsidP="008C24EA">
      <w:pPr>
        <w:widowControl/>
        <w:spacing w:line="276" w:lineRule="auto"/>
        <w:jc w:val="both"/>
        <w:rPr>
          <w:rFonts w:ascii="Source Sans Pro" w:eastAsia="Noto Sans HK Light" w:hAnsi="Source Sans Pro" w:cs="Noto Sans"/>
          <w:bCs/>
          <w:snapToGrid/>
          <w:sz w:val="20"/>
          <w:lang w:val="es-ES_tradnl"/>
        </w:rPr>
      </w:pPr>
    </w:p>
    <w:p w14:paraId="117E6EAB" w14:textId="77777777" w:rsidR="008C24EA" w:rsidRPr="00D020D5" w:rsidRDefault="008C24EA" w:rsidP="008C24EA">
      <w:pPr>
        <w:widowControl/>
        <w:numPr>
          <w:ilvl w:val="0"/>
          <w:numId w:val="1"/>
        </w:numPr>
        <w:spacing w:line="276" w:lineRule="auto"/>
        <w:jc w:val="both"/>
        <w:rPr>
          <w:rFonts w:ascii="Source Sans Pro" w:eastAsia="Noto Sans HK Light" w:hAnsi="Source Sans Pro" w:cs="Noto Sans"/>
          <w:bCs/>
          <w:snapToGrid/>
          <w:sz w:val="20"/>
          <w:lang w:val="es-ES_tradnl"/>
        </w:rPr>
      </w:pPr>
      <w:r w:rsidRPr="00D020D5">
        <w:rPr>
          <w:rFonts w:ascii="Source Sans Pro" w:eastAsia="Noto Sans HK Light" w:hAnsi="Source Sans Pro" w:cs="Noto Sans"/>
          <w:bCs/>
          <w:snapToGrid/>
          <w:sz w:val="20"/>
        </w:rPr>
        <w:t>Cálculo de puntuación ponderada para cada licitador:</w:t>
      </w:r>
    </w:p>
    <w:p w14:paraId="3A6858BC"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sz w:val="20"/>
        </w:rPr>
      </w:pPr>
    </w:p>
    <w:p w14:paraId="5020EA21" w14:textId="77777777" w:rsidR="008C24EA" w:rsidRPr="00D020D5" w:rsidRDefault="008C24EA" w:rsidP="008C24EA">
      <w:pPr>
        <w:widowControl/>
        <w:spacing w:line="276" w:lineRule="auto"/>
        <w:ind w:left="643"/>
        <w:jc w:val="both"/>
        <w:rPr>
          <w:rFonts w:ascii="Source Sans Pro" w:eastAsia="Noto Sans HK Light" w:hAnsi="Source Sans Pro" w:cs="Noto Sans"/>
          <w:bCs/>
          <w:snapToGrid/>
          <w:sz w:val="20"/>
        </w:rPr>
      </w:pPr>
      <w:r w:rsidRPr="00D020D5">
        <w:rPr>
          <w:rFonts w:ascii="Source Sans Pro" w:eastAsia="Noto Sans HK Light" w:hAnsi="Source Sans Pro" w:cs="Noto Sans"/>
          <w:bCs/>
          <w:snapToGrid/>
          <w:sz w:val="20"/>
        </w:rPr>
        <w:t>-</w:t>
      </w:r>
      <m:oMath>
        <m:f>
          <m:fPr>
            <m:ctrlPr>
              <w:rPr>
                <w:rFonts w:ascii="Cambria Math" w:eastAsia="Noto Sans HK Light" w:hAnsi="Cambria Math" w:cs="Noto Sans"/>
                <w:bCs/>
                <w:i/>
                <w:snapToGrid/>
                <w:sz w:val="20"/>
              </w:rPr>
            </m:ctrlPr>
          </m:fPr>
          <m:num>
            <m:r>
              <w:rPr>
                <w:rFonts w:ascii="Cambria Math" w:eastAsia="Noto Sans HK Light" w:hAnsi="Cambria Math" w:cs="Noto Sans"/>
                <w:snapToGrid/>
                <w:sz w:val="20"/>
              </w:rPr>
              <m:t>Puntuación lote 1*V.E.  del conjunto de contratos previstos lote 1</m:t>
            </m:r>
          </m:num>
          <m:den>
            <m:r>
              <w:rPr>
                <w:rFonts w:ascii="Cambria Math" w:eastAsia="Noto Sans HK Light" w:hAnsi="Cambria Math" w:cs="Noto Sans"/>
                <w:snapToGrid/>
                <w:sz w:val="20"/>
              </w:rPr>
              <m:t>V.E.  del conjunto de contratos previstos Agrupación</m:t>
            </m:r>
          </m:den>
        </m:f>
        <m:r>
          <w:rPr>
            <w:rFonts w:ascii="Cambria Math" w:eastAsia="Noto Sans HK Light" w:hAnsi="Cambria Math" w:cs="Noto Sans"/>
            <w:snapToGrid/>
            <w:sz w:val="20"/>
          </w:rPr>
          <m:t>+</m:t>
        </m:r>
        <m:f>
          <m:fPr>
            <m:ctrlPr>
              <w:rPr>
                <w:rFonts w:ascii="Cambria Math" w:eastAsia="Noto Sans HK Light" w:hAnsi="Cambria Math" w:cs="Noto Sans"/>
                <w:bCs/>
                <w:i/>
                <w:snapToGrid/>
                <w:sz w:val="20"/>
              </w:rPr>
            </m:ctrlPr>
          </m:fPr>
          <m:num>
            <m:r>
              <w:rPr>
                <w:rFonts w:ascii="Cambria Math" w:eastAsia="Noto Sans HK Light" w:hAnsi="Cambria Math" w:cs="Noto Sans"/>
                <w:snapToGrid/>
                <w:sz w:val="20"/>
              </w:rPr>
              <m:t>Puntuación  lote 2*V.E.  del conjunto de contratos previstos  lote 2</m:t>
            </m:r>
          </m:num>
          <m:den>
            <m:r>
              <w:rPr>
                <w:rFonts w:ascii="Cambria Math" w:eastAsia="Noto Sans HK Light" w:hAnsi="Cambria Math" w:cs="Noto Sans"/>
                <w:snapToGrid/>
                <w:sz w:val="20"/>
              </w:rPr>
              <m:t>V.E.  del conjunto de contratos previstos Agrupación</m:t>
            </m:r>
          </m:den>
        </m:f>
      </m:oMath>
    </w:p>
    <w:p w14:paraId="19C2D8EB" w14:textId="77777777" w:rsidR="008C24EA" w:rsidRPr="00D020D5" w:rsidRDefault="008C24EA" w:rsidP="008C24EA">
      <w:pPr>
        <w:widowControl/>
        <w:spacing w:line="276" w:lineRule="auto"/>
        <w:ind w:left="643"/>
        <w:jc w:val="both"/>
        <w:rPr>
          <w:rFonts w:ascii="Source Sans Pro" w:eastAsia="Noto Sans HK Light" w:hAnsi="Source Sans Pro" w:cs="Noto Sans"/>
          <w:bCs/>
          <w:snapToGrid/>
          <w:sz w:val="20"/>
        </w:rPr>
      </w:pPr>
    </w:p>
    <w:p w14:paraId="63087C8C" w14:textId="77777777" w:rsidR="008C24EA" w:rsidRPr="00D020D5" w:rsidRDefault="008C24EA" w:rsidP="008C24EA">
      <w:pPr>
        <w:widowControl/>
        <w:spacing w:line="276" w:lineRule="auto"/>
        <w:ind w:left="643"/>
        <w:jc w:val="both"/>
        <w:rPr>
          <w:rFonts w:ascii="Source Sans Pro" w:eastAsia="Noto Sans HK Light" w:hAnsi="Source Sans Pro" w:cs="Noto Sans"/>
          <w:bCs/>
          <w:snapToGrid/>
          <w:sz w:val="20"/>
          <w:lang w:val="es-ES_tradnl"/>
        </w:rPr>
      </w:pPr>
      <m:oMathPara>
        <m:oMath>
          <m:r>
            <w:rPr>
              <w:rFonts w:ascii="Cambria Math" w:eastAsia="Noto Sans HK Light" w:hAnsi="Cambria Math" w:cs="Noto Sans"/>
              <w:snapToGrid/>
              <w:sz w:val="20"/>
            </w:rPr>
            <m:t>∙∙∙∙∙∙∙∙∙∙</m:t>
          </m:r>
          <m:f>
            <m:fPr>
              <m:ctrlPr>
                <w:rPr>
                  <w:rFonts w:ascii="Cambria Math" w:eastAsia="Noto Sans HK Light" w:hAnsi="Cambria Math" w:cs="Noto Sans"/>
                  <w:bCs/>
                  <w:i/>
                  <w:snapToGrid/>
                  <w:sz w:val="20"/>
                </w:rPr>
              </m:ctrlPr>
            </m:fPr>
            <m:num>
              <m:r>
                <w:rPr>
                  <w:rFonts w:ascii="Cambria Math" w:eastAsia="Noto Sans HK Light" w:hAnsi="Cambria Math" w:cs="Noto Sans"/>
                  <w:snapToGrid/>
                  <w:sz w:val="20"/>
                </w:rPr>
                <m:t>Puntuación lote n*V.E. del conjunto de contratos previstos lote n</m:t>
              </m:r>
            </m:num>
            <m:den>
              <m:r>
                <w:rPr>
                  <w:rFonts w:ascii="Cambria Math" w:eastAsia="Noto Sans HK Light" w:hAnsi="Cambria Math" w:cs="Noto Sans"/>
                  <w:snapToGrid/>
                  <w:sz w:val="20"/>
                </w:rPr>
                <m:t>V.E. del conjunto de contratos previstos Agrupación</m:t>
              </m:r>
            </m:den>
          </m:f>
        </m:oMath>
      </m:oMathPara>
    </w:p>
    <w:p w14:paraId="579EE425" w14:textId="77777777" w:rsidR="008C24EA" w:rsidRPr="00D020D5" w:rsidRDefault="008C24EA" w:rsidP="008C24EA">
      <w:pPr>
        <w:tabs>
          <w:tab w:val="right" w:pos="9921"/>
        </w:tabs>
        <w:spacing w:line="276" w:lineRule="auto"/>
        <w:ind w:right="142"/>
        <w:jc w:val="both"/>
        <w:rPr>
          <w:rFonts w:ascii="Source Sans Pro" w:eastAsia="Noto Sans HK Light" w:hAnsi="Source Sans Pro" w:cs="Noto Sans"/>
          <w:sz w:val="20"/>
        </w:rPr>
      </w:pPr>
    </w:p>
    <w:p w14:paraId="05A33EC1" w14:textId="77777777" w:rsidR="008C24EA" w:rsidRDefault="008C24EA" w:rsidP="008C24EA">
      <w:pPr>
        <w:widowControl/>
        <w:spacing w:line="276" w:lineRule="auto"/>
        <w:jc w:val="both"/>
        <w:rPr>
          <w:rFonts w:ascii="Source Sans Pro" w:eastAsia="Noto Sans HK Light" w:hAnsi="Source Sans Pro" w:cs="Noto Sans"/>
          <w:bCs/>
          <w:snapToGrid/>
          <w:sz w:val="20"/>
          <w:lang w:val="es-ES_tradnl"/>
        </w:rPr>
      </w:pPr>
    </w:p>
    <w:p w14:paraId="62AB2763" w14:textId="77777777" w:rsidR="008C24EA" w:rsidRPr="00D020D5" w:rsidRDefault="008C24EA" w:rsidP="008C24EA">
      <w:pPr>
        <w:widowControl/>
        <w:spacing w:line="276" w:lineRule="auto"/>
        <w:jc w:val="both"/>
        <w:rPr>
          <w:rFonts w:ascii="Source Sans Pro" w:hAnsi="Source Sans Pro" w:cs="Arial"/>
          <w:sz w:val="20"/>
        </w:rPr>
      </w:pPr>
      <w:r w:rsidRPr="00D020D5">
        <w:rPr>
          <w:rFonts w:ascii="Source Sans Pro" w:eastAsia="Noto Sans HK Light" w:hAnsi="Source Sans Pro" w:cs="Noto Sans"/>
          <w:bCs/>
          <w:snapToGrid/>
          <w:sz w:val="20"/>
          <w:lang w:val="es-ES_tradnl"/>
        </w:rPr>
        <w:lastRenderedPageBreak/>
        <w:t>Este criterio se establece en aras de la eficiencia, la sostenibilidad y el control del gasto público de cara al cumplimiento de los objetivos económicos asignados a la Central Provincial de Compras y a los centros sanitarios adscritos a ella, en sus respectivos contratos programas; y de déficit público asignados al conjunto de las administraciones públicas.</w:t>
      </w:r>
    </w:p>
    <w:p w14:paraId="396659A6" w14:textId="268A0CE6" w:rsidR="008C24EA" w:rsidRDefault="008C24EA" w:rsidP="00E01B08">
      <w:pPr>
        <w:tabs>
          <w:tab w:val="right" w:pos="9921"/>
        </w:tabs>
        <w:ind w:right="142"/>
        <w:jc w:val="center"/>
        <w:rPr>
          <w:rFonts w:ascii="Source Sans Pro" w:eastAsia="Noto Sans HK Light" w:hAnsi="Source Sans Pro" w:cs="Noto Sans"/>
          <w:b/>
          <w:sz w:val="22"/>
          <w:szCs w:val="22"/>
        </w:rPr>
      </w:pPr>
    </w:p>
    <w:p w14:paraId="191D93FF" w14:textId="1EC35935" w:rsidR="008C24EA" w:rsidRDefault="008C24EA" w:rsidP="00E01B08">
      <w:pPr>
        <w:tabs>
          <w:tab w:val="right" w:pos="9921"/>
        </w:tabs>
        <w:ind w:right="142"/>
        <w:jc w:val="center"/>
        <w:rPr>
          <w:rFonts w:ascii="Source Sans Pro" w:eastAsia="Noto Sans HK Light" w:hAnsi="Source Sans Pro" w:cs="Noto Sans"/>
          <w:b/>
          <w:sz w:val="22"/>
          <w:szCs w:val="22"/>
        </w:rPr>
      </w:pPr>
    </w:p>
    <w:p w14:paraId="4742093D" w14:textId="4B6951D6" w:rsidR="008C24EA" w:rsidRDefault="008C24EA" w:rsidP="00E01B08">
      <w:pPr>
        <w:tabs>
          <w:tab w:val="right" w:pos="9921"/>
        </w:tabs>
        <w:ind w:right="142"/>
        <w:jc w:val="center"/>
        <w:rPr>
          <w:rFonts w:ascii="Source Sans Pro" w:eastAsia="Noto Sans HK Light" w:hAnsi="Source Sans Pro" w:cs="Noto Sans"/>
          <w:b/>
          <w:sz w:val="22"/>
          <w:szCs w:val="22"/>
        </w:rPr>
      </w:pPr>
    </w:p>
    <w:p w14:paraId="22754F11" w14:textId="09670E3B" w:rsidR="008C24EA" w:rsidRDefault="008C24EA" w:rsidP="00E01B08">
      <w:pPr>
        <w:tabs>
          <w:tab w:val="right" w:pos="9921"/>
        </w:tabs>
        <w:ind w:right="142"/>
        <w:jc w:val="center"/>
        <w:rPr>
          <w:rFonts w:ascii="Source Sans Pro" w:eastAsia="Noto Sans HK Light" w:hAnsi="Source Sans Pro" w:cs="Noto Sans"/>
          <w:b/>
          <w:sz w:val="22"/>
          <w:szCs w:val="22"/>
        </w:rPr>
      </w:pPr>
    </w:p>
    <w:p w14:paraId="519992BF" w14:textId="0B9F94C3" w:rsidR="008C24EA" w:rsidRDefault="008C24EA" w:rsidP="00E01B08">
      <w:pPr>
        <w:tabs>
          <w:tab w:val="right" w:pos="9921"/>
        </w:tabs>
        <w:ind w:right="142"/>
        <w:jc w:val="center"/>
        <w:rPr>
          <w:rFonts w:ascii="Source Sans Pro" w:eastAsia="Noto Sans HK Light" w:hAnsi="Source Sans Pro" w:cs="Noto Sans"/>
          <w:b/>
          <w:sz w:val="22"/>
          <w:szCs w:val="22"/>
        </w:rPr>
      </w:pPr>
    </w:p>
    <w:p w14:paraId="041ABB7C" w14:textId="109731D5" w:rsidR="008C24EA" w:rsidRDefault="008C24EA" w:rsidP="00E01B08">
      <w:pPr>
        <w:tabs>
          <w:tab w:val="right" w:pos="9921"/>
        </w:tabs>
        <w:ind w:right="142"/>
        <w:jc w:val="center"/>
        <w:rPr>
          <w:rFonts w:ascii="Source Sans Pro" w:eastAsia="Noto Sans HK Light" w:hAnsi="Source Sans Pro" w:cs="Noto Sans"/>
          <w:b/>
          <w:sz w:val="22"/>
          <w:szCs w:val="22"/>
        </w:rPr>
      </w:pPr>
    </w:p>
    <w:p w14:paraId="135F6B2F" w14:textId="4E9FA365" w:rsidR="008C24EA" w:rsidRDefault="008C24EA" w:rsidP="00E01B08">
      <w:pPr>
        <w:tabs>
          <w:tab w:val="right" w:pos="9921"/>
        </w:tabs>
        <w:ind w:right="142"/>
        <w:jc w:val="center"/>
        <w:rPr>
          <w:rFonts w:ascii="Source Sans Pro" w:eastAsia="Noto Sans HK Light" w:hAnsi="Source Sans Pro" w:cs="Noto Sans"/>
          <w:b/>
          <w:sz w:val="22"/>
          <w:szCs w:val="22"/>
        </w:rPr>
      </w:pPr>
    </w:p>
    <w:p w14:paraId="5D4C31CE" w14:textId="4F1F9D0D" w:rsidR="008C24EA" w:rsidRDefault="008C24EA" w:rsidP="00E01B08">
      <w:pPr>
        <w:tabs>
          <w:tab w:val="right" w:pos="9921"/>
        </w:tabs>
        <w:ind w:right="142"/>
        <w:jc w:val="center"/>
        <w:rPr>
          <w:rFonts w:ascii="Source Sans Pro" w:eastAsia="Noto Sans HK Light" w:hAnsi="Source Sans Pro" w:cs="Noto Sans"/>
          <w:b/>
          <w:sz w:val="22"/>
          <w:szCs w:val="22"/>
        </w:rPr>
      </w:pPr>
    </w:p>
    <w:p w14:paraId="0AD8E72C" w14:textId="3E294898" w:rsidR="008C24EA" w:rsidRDefault="008C24EA" w:rsidP="00E01B08">
      <w:pPr>
        <w:tabs>
          <w:tab w:val="right" w:pos="9921"/>
        </w:tabs>
        <w:ind w:right="142"/>
        <w:jc w:val="center"/>
        <w:rPr>
          <w:rFonts w:ascii="Source Sans Pro" w:eastAsia="Noto Sans HK Light" w:hAnsi="Source Sans Pro" w:cs="Noto Sans"/>
          <w:b/>
          <w:sz w:val="22"/>
          <w:szCs w:val="22"/>
        </w:rPr>
      </w:pPr>
    </w:p>
    <w:p w14:paraId="50D2BF3E" w14:textId="3FFF8710" w:rsidR="008C24EA" w:rsidRDefault="008C24EA" w:rsidP="00E01B08">
      <w:pPr>
        <w:tabs>
          <w:tab w:val="right" w:pos="9921"/>
        </w:tabs>
        <w:ind w:right="142"/>
        <w:jc w:val="center"/>
        <w:rPr>
          <w:rFonts w:ascii="Source Sans Pro" w:eastAsia="Noto Sans HK Light" w:hAnsi="Source Sans Pro" w:cs="Noto Sans"/>
          <w:b/>
          <w:sz w:val="22"/>
          <w:szCs w:val="22"/>
        </w:rPr>
      </w:pPr>
    </w:p>
    <w:p w14:paraId="48ED4CF9" w14:textId="52AED654" w:rsidR="008C24EA" w:rsidRDefault="008C24EA" w:rsidP="00E01B08">
      <w:pPr>
        <w:tabs>
          <w:tab w:val="right" w:pos="9921"/>
        </w:tabs>
        <w:ind w:right="142"/>
        <w:jc w:val="center"/>
        <w:rPr>
          <w:rFonts w:ascii="Source Sans Pro" w:eastAsia="Noto Sans HK Light" w:hAnsi="Source Sans Pro" w:cs="Noto Sans"/>
          <w:b/>
          <w:sz w:val="22"/>
          <w:szCs w:val="22"/>
        </w:rPr>
      </w:pPr>
    </w:p>
    <w:p w14:paraId="1861479C" w14:textId="6704DF25" w:rsidR="008C24EA" w:rsidRDefault="008C24EA" w:rsidP="00E01B08">
      <w:pPr>
        <w:tabs>
          <w:tab w:val="right" w:pos="9921"/>
        </w:tabs>
        <w:ind w:right="142"/>
        <w:jc w:val="center"/>
        <w:rPr>
          <w:rFonts w:ascii="Source Sans Pro" w:eastAsia="Noto Sans HK Light" w:hAnsi="Source Sans Pro" w:cs="Noto Sans"/>
          <w:b/>
          <w:sz w:val="22"/>
          <w:szCs w:val="22"/>
        </w:rPr>
      </w:pPr>
    </w:p>
    <w:p w14:paraId="40F1867A" w14:textId="0CC0CFB7" w:rsidR="008C24EA" w:rsidRDefault="008C24EA" w:rsidP="00E01B08">
      <w:pPr>
        <w:tabs>
          <w:tab w:val="right" w:pos="9921"/>
        </w:tabs>
        <w:ind w:right="142"/>
        <w:jc w:val="center"/>
        <w:rPr>
          <w:rFonts w:ascii="Source Sans Pro" w:eastAsia="Noto Sans HK Light" w:hAnsi="Source Sans Pro" w:cs="Noto Sans"/>
          <w:b/>
          <w:sz w:val="22"/>
          <w:szCs w:val="22"/>
        </w:rPr>
      </w:pPr>
    </w:p>
    <w:p w14:paraId="5BED4757" w14:textId="38D6C6B9" w:rsidR="008C24EA" w:rsidRDefault="008C24EA" w:rsidP="00E01B08">
      <w:pPr>
        <w:tabs>
          <w:tab w:val="right" w:pos="9921"/>
        </w:tabs>
        <w:ind w:right="142"/>
        <w:jc w:val="center"/>
        <w:rPr>
          <w:rFonts w:ascii="Source Sans Pro" w:eastAsia="Noto Sans HK Light" w:hAnsi="Source Sans Pro" w:cs="Noto Sans"/>
          <w:b/>
          <w:sz w:val="22"/>
          <w:szCs w:val="22"/>
        </w:rPr>
      </w:pPr>
    </w:p>
    <w:p w14:paraId="22927330" w14:textId="6759B2F4" w:rsidR="008C24EA" w:rsidRDefault="008C24EA" w:rsidP="00E01B08">
      <w:pPr>
        <w:tabs>
          <w:tab w:val="right" w:pos="9921"/>
        </w:tabs>
        <w:ind w:right="142"/>
        <w:jc w:val="center"/>
        <w:rPr>
          <w:rFonts w:ascii="Source Sans Pro" w:eastAsia="Noto Sans HK Light" w:hAnsi="Source Sans Pro" w:cs="Noto Sans"/>
          <w:b/>
          <w:sz w:val="22"/>
          <w:szCs w:val="22"/>
        </w:rPr>
      </w:pPr>
    </w:p>
    <w:p w14:paraId="77333585" w14:textId="02992B54" w:rsidR="008C24EA" w:rsidRDefault="008C24EA" w:rsidP="00E01B08">
      <w:pPr>
        <w:tabs>
          <w:tab w:val="right" w:pos="9921"/>
        </w:tabs>
        <w:ind w:right="142"/>
        <w:jc w:val="center"/>
        <w:rPr>
          <w:rFonts w:ascii="Source Sans Pro" w:eastAsia="Noto Sans HK Light" w:hAnsi="Source Sans Pro" w:cs="Noto Sans"/>
          <w:b/>
          <w:sz w:val="22"/>
          <w:szCs w:val="22"/>
        </w:rPr>
      </w:pPr>
    </w:p>
    <w:p w14:paraId="491FDA4E" w14:textId="6606C34B" w:rsidR="008C24EA" w:rsidRDefault="008C24EA" w:rsidP="00E01B08">
      <w:pPr>
        <w:tabs>
          <w:tab w:val="right" w:pos="9921"/>
        </w:tabs>
        <w:ind w:right="142"/>
        <w:jc w:val="center"/>
        <w:rPr>
          <w:rFonts w:ascii="Source Sans Pro" w:eastAsia="Noto Sans HK Light" w:hAnsi="Source Sans Pro" w:cs="Noto Sans"/>
          <w:b/>
          <w:sz w:val="22"/>
          <w:szCs w:val="22"/>
        </w:rPr>
      </w:pPr>
    </w:p>
    <w:p w14:paraId="2C7F06BD" w14:textId="2032491E" w:rsidR="008C24EA" w:rsidRDefault="008C24EA" w:rsidP="00E01B08">
      <w:pPr>
        <w:tabs>
          <w:tab w:val="right" w:pos="9921"/>
        </w:tabs>
        <w:ind w:right="142"/>
        <w:jc w:val="center"/>
        <w:rPr>
          <w:rFonts w:ascii="Source Sans Pro" w:eastAsia="Noto Sans HK Light" w:hAnsi="Source Sans Pro" w:cs="Noto Sans"/>
          <w:b/>
          <w:sz w:val="22"/>
          <w:szCs w:val="22"/>
        </w:rPr>
      </w:pPr>
    </w:p>
    <w:p w14:paraId="442BD02D" w14:textId="5FDE24BD" w:rsidR="008C24EA" w:rsidRDefault="008C24EA" w:rsidP="00E01B08">
      <w:pPr>
        <w:tabs>
          <w:tab w:val="right" w:pos="9921"/>
        </w:tabs>
        <w:ind w:right="142"/>
        <w:jc w:val="center"/>
        <w:rPr>
          <w:rFonts w:ascii="Source Sans Pro" w:eastAsia="Noto Sans HK Light" w:hAnsi="Source Sans Pro" w:cs="Noto Sans"/>
          <w:b/>
          <w:sz w:val="22"/>
          <w:szCs w:val="22"/>
        </w:rPr>
      </w:pPr>
    </w:p>
    <w:p w14:paraId="6834510E" w14:textId="3A168397" w:rsidR="008C24EA" w:rsidRDefault="008C24EA" w:rsidP="00E01B08">
      <w:pPr>
        <w:tabs>
          <w:tab w:val="right" w:pos="9921"/>
        </w:tabs>
        <w:ind w:right="142"/>
        <w:jc w:val="center"/>
        <w:rPr>
          <w:rFonts w:ascii="Source Sans Pro" w:eastAsia="Noto Sans HK Light" w:hAnsi="Source Sans Pro" w:cs="Noto Sans"/>
          <w:b/>
          <w:sz w:val="22"/>
          <w:szCs w:val="22"/>
        </w:rPr>
      </w:pPr>
    </w:p>
    <w:p w14:paraId="0CC31B37" w14:textId="33F7BAEA" w:rsidR="008C24EA" w:rsidRDefault="008C24EA" w:rsidP="00E01B08">
      <w:pPr>
        <w:tabs>
          <w:tab w:val="right" w:pos="9921"/>
        </w:tabs>
        <w:ind w:right="142"/>
        <w:jc w:val="center"/>
        <w:rPr>
          <w:rFonts w:ascii="Source Sans Pro" w:eastAsia="Noto Sans HK Light" w:hAnsi="Source Sans Pro" w:cs="Noto Sans"/>
          <w:b/>
          <w:sz w:val="22"/>
          <w:szCs w:val="22"/>
        </w:rPr>
      </w:pPr>
    </w:p>
    <w:p w14:paraId="41CA63BF" w14:textId="0C616DD5" w:rsidR="008C24EA" w:rsidRDefault="008C24EA" w:rsidP="00E01B08">
      <w:pPr>
        <w:tabs>
          <w:tab w:val="right" w:pos="9921"/>
        </w:tabs>
        <w:ind w:right="142"/>
        <w:jc w:val="center"/>
        <w:rPr>
          <w:rFonts w:ascii="Source Sans Pro" w:eastAsia="Noto Sans HK Light" w:hAnsi="Source Sans Pro" w:cs="Noto Sans"/>
          <w:b/>
          <w:sz w:val="22"/>
          <w:szCs w:val="22"/>
        </w:rPr>
      </w:pPr>
    </w:p>
    <w:p w14:paraId="10BF36E2" w14:textId="12A93FEA" w:rsidR="008C24EA" w:rsidRDefault="008C24EA" w:rsidP="00E01B08">
      <w:pPr>
        <w:tabs>
          <w:tab w:val="right" w:pos="9921"/>
        </w:tabs>
        <w:ind w:right="142"/>
        <w:jc w:val="center"/>
        <w:rPr>
          <w:rFonts w:ascii="Source Sans Pro" w:eastAsia="Noto Sans HK Light" w:hAnsi="Source Sans Pro" w:cs="Noto Sans"/>
          <w:b/>
          <w:sz w:val="22"/>
          <w:szCs w:val="22"/>
        </w:rPr>
      </w:pPr>
    </w:p>
    <w:p w14:paraId="0205B640" w14:textId="302D583E" w:rsidR="008C24EA" w:rsidRDefault="008C24EA" w:rsidP="00E01B08">
      <w:pPr>
        <w:tabs>
          <w:tab w:val="right" w:pos="9921"/>
        </w:tabs>
        <w:ind w:right="142"/>
        <w:jc w:val="center"/>
        <w:rPr>
          <w:rFonts w:ascii="Source Sans Pro" w:eastAsia="Noto Sans HK Light" w:hAnsi="Source Sans Pro" w:cs="Noto Sans"/>
          <w:b/>
          <w:sz w:val="22"/>
          <w:szCs w:val="22"/>
        </w:rPr>
      </w:pPr>
    </w:p>
    <w:p w14:paraId="569F15B2" w14:textId="30102FF9" w:rsidR="008C24EA" w:rsidRDefault="008C24EA" w:rsidP="00E01B08">
      <w:pPr>
        <w:tabs>
          <w:tab w:val="right" w:pos="9921"/>
        </w:tabs>
        <w:ind w:right="142"/>
        <w:jc w:val="center"/>
        <w:rPr>
          <w:rFonts w:ascii="Source Sans Pro" w:eastAsia="Noto Sans HK Light" w:hAnsi="Source Sans Pro" w:cs="Noto Sans"/>
          <w:b/>
          <w:sz w:val="22"/>
          <w:szCs w:val="22"/>
        </w:rPr>
      </w:pPr>
    </w:p>
    <w:p w14:paraId="780D22EB" w14:textId="2B018BCE" w:rsidR="008C24EA" w:rsidRDefault="008C24EA" w:rsidP="00E01B08">
      <w:pPr>
        <w:tabs>
          <w:tab w:val="right" w:pos="9921"/>
        </w:tabs>
        <w:ind w:right="142"/>
        <w:jc w:val="center"/>
        <w:rPr>
          <w:rFonts w:ascii="Source Sans Pro" w:eastAsia="Noto Sans HK Light" w:hAnsi="Source Sans Pro" w:cs="Noto Sans"/>
          <w:b/>
          <w:sz w:val="22"/>
          <w:szCs w:val="22"/>
        </w:rPr>
      </w:pPr>
    </w:p>
    <w:p w14:paraId="755D302E" w14:textId="130E4675" w:rsidR="008C24EA" w:rsidRDefault="008C24EA" w:rsidP="00E01B08">
      <w:pPr>
        <w:tabs>
          <w:tab w:val="right" w:pos="9921"/>
        </w:tabs>
        <w:ind w:right="142"/>
        <w:jc w:val="center"/>
        <w:rPr>
          <w:rFonts w:ascii="Source Sans Pro" w:eastAsia="Noto Sans HK Light" w:hAnsi="Source Sans Pro" w:cs="Noto Sans"/>
          <w:b/>
          <w:sz w:val="22"/>
          <w:szCs w:val="22"/>
        </w:rPr>
      </w:pPr>
    </w:p>
    <w:p w14:paraId="25B19FCB" w14:textId="2A4BE572" w:rsidR="008C24EA" w:rsidRDefault="008C24EA" w:rsidP="00E01B08">
      <w:pPr>
        <w:tabs>
          <w:tab w:val="right" w:pos="9921"/>
        </w:tabs>
        <w:ind w:right="142"/>
        <w:jc w:val="center"/>
        <w:rPr>
          <w:rFonts w:ascii="Source Sans Pro" w:eastAsia="Noto Sans HK Light" w:hAnsi="Source Sans Pro" w:cs="Noto Sans"/>
          <w:b/>
          <w:sz w:val="22"/>
          <w:szCs w:val="22"/>
        </w:rPr>
      </w:pPr>
    </w:p>
    <w:p w14:paraId="3CAE10D2" w14:textId="7CC809EC" w:rsidR="008C24EA" w:rsidRDefault="008C24EA" w:rsidP="00E01B08">
      <w:pPr>
        <w:tabs>
          <w:tab w:val="right" w:pos="9921"/>
        </w:tabs>
        <w:ind w:right="142"/>
        <w:jc w:val="center"/>
        <w:rPr>
          <w:rFonts w:ascii="Source Sans Pro" w:eastAsia="Noto Sans HK Light" w:hAnsi="Source Sans Pro" w:cs="Noto Sans"/>
          <w:b/>
          <w:sz w:val="22"/>
          <w:szCs w:val="22"/>
        </w:rPr>
      </w:pPr>
    </w:p>
    <w:p w14:paraId="2131A76F" w14:textId="08F11B2E" w:rsidR="008C24EA" w:rsidRDefault="008C24EA" w:rsidP="00E01B08">
      <w:pPr>
        <w:tabs>
          <w:tab w:val="right" w:pos="9921"/>
        </w:tabs>
        <w:ind w:right="142"/>
        <w:jc w:val="center"/>
        <w:rPr>
          <w:rFonts w:ascii="Source Sans Pro" w:eastAsia="Noto Sans HK Light" w:hAnsi="Source Sans Pro" w:cs="Noto Sans"/>
          <w:b/>
          <w:sz w:val="22"/>
          <w:szCs w:val="22"/>
        </w:rPr>
      </w:pPr>
    </w:p>
    <w:p w14:paraId="24AC5CA0" w14:textId="036A2059" w:rsidR="008C24EA" w:rsidRDefault="008C24EA" w:rsidP="00E01B08">
      <w:pPr>
        <w:tabs>
          <w:tab w:val="right" w:pos="9921"/>
        </w:tabs>
        <w:ind w:right="142"/>
        <w:jc w:val="center"/>
        <w:rPr>
          <w:rFonts w:ascii="Source Sans Pro" w:eastAsia="Noto Sans HK Light" w:hAnsi="Source Sans Pro" w:cs="Noto Sans"/>
          <w:b/>
          <w:sz w:val="22"/>
          <w:szCs w:val="22"/>
        </w:rPr>
      </w:pPr>
    </w:p>
    <w:p w14:paraId="1967AEFB" w14:textId="39B092F3" w:rsidR="008C24EA" w:rsidRDefault="008C24EA" w:rsidP="00E01B08">
      <w:pPr>
        <w:tabs>
          <w:tab w:val="right" w:pos="9921"/>
        </w:tabs>
        <w:ind w:right="142"/>
        <w:jc w:val="center"/>
        <w:rPr>
          <w:rFonts w:ascii="Source Sans Pro" w:eastAsia="Noto Sans HK Light" w:hAnsi="Source Sans Pro" w:cs="Noto Sans"/>
          <w:b/>
          <w:sz w:val="22"/>
          <w:szCs w:val="22"/>
        </w:rPr>
      </w:pPr>
    </w:p>
    <w:p w14:paraId="46023DDB" w14:textId="5F0BE2A2" w:rsidR="008C24EA" w:rsidRDefault="008C24EA" w:rsidP="00E01B08">
      <w:pPr>
        <w:tabs>
          <w:tab w:val="right" w:pos="9921"/>
        </w:tabs>
        <w:ind w:right="142"/>
        <w:jc w:val="center"/>
        <w:rPr>
          <w:rFonts w:ascii="Source Sans Pro" w:eastAsia="Noto Sans HK Light" w:hAnsi="Source Sans Pro" w:cs="Noto Sans"/>
          <w:b/>
          <w:sz w:val="22"/>
          <w:szCs w:val="22"/>
        </w:rPr>
      </w:pPr>
    </w:p>
    <w:p w14:paraId="66024627" w14:textId="004A3631" w:rsidR="008C24EA" w:rsidRDefault="008C24EA" w:rsidP="00E01B08">
      <w:pPr>
        <w:tabs>
          <w:tab w:val="right" w:pos="9921"/>
        </w:tabs>
        <w:ind w:right="142"/>
        <w:jc w:val="center"/>
        <w:rPr>
          <w:rFonts w:ascii="Source Sans Pro" w:eastAsia="Noto Sans HK Light" w:hAnsi="Source Sans Pro" w:cs="Noto Sans"/>
          <w:b/>
          <w:sz w:val="22"/>
          <w:szCs w:val="22"/>
        </w:rPr>
      </w:pPr>
    </w:p>
    <w:p w14:paraId="3A0D981E" w14:textId="36919815" w:rsidR="008C24EA" w:rsidRDefault="008C24EA" w:rsidP="00E01B08">
      <w:pPr>
        <w:tabs>
          <w:tab w:val="right" w:pos="9921"/>
        </w:tabs>
        <w:ind w:right="142"/>
        <w:jc w:val="center"/>
        <w:rPr>
          <w:rFonts w:ascii="Source Sans Pro" w:eastAsia="Noto Sans HK Light" w:hAnsi="Source Sans Pro" w:cs="Noto Sans"/>
          <w:b/>
          <w:sz w:val="22"/>
          <w:szCs w:val="22"/>
        </w:rPr>
      </w:pPr>
    </w:p>
    <w:p w14:paraId="0A84360C" w14:textId="0D1A2ABA" w:rsidR="008C24EA" w:rsidRDefault="008C24EA" w:rsidP="00E01B08">
      <w:pPr>
        <w:tabs>
          <w:tab w:val="right" w:pos="9921"/>
        </w:tabs>
        <w:ind w:right="142"/>
        <w:jc w:val="center"/>
        <w:rPr>
          <w:rFonts w:ascii="Source Sans Pro" w:eastAsia="Noto Sans HK Light" w:hAnsi="Source Sans Pro" w:cs="Noto Sans"/>
          <w:b/>
          <w:sz w:val="22"/>
          <w:szCs w:val="22"/>
        </w:rPr>
      </w:pPr>
    </w:p>
    <w:p w14:paraId="3FE5D62C" w14:textId="6F561D17" w:rsidR="008C24EA" w:rsidRDefault="008C24EA" w:rsidP="00E01B08">
      <w:pPr>
        <w:tabs>
          <w:tab w:val="right" w:pos="9921"/>
        </w:tabs>
        <w:ind w:right="142"/>
        <w:jc w:val="center"/>
        <w:rPr>
          <w:rFonts w:ascii="Source Sans Pro" w:eastAsia="Noto Sans HK Light" w:hAnsi="Source Sans Pro" w:cs="Noto Sans"/>
          <w:b/>
          <w:sz w:val="22"/>
          <w:szCs w:val="22"/>
        </w:rPr>
      </w:pPr>
    </w:p>
    <w:p w14:paraId="55A6E3A8" w14:textId="77777777" w:rsidR="008C24EA" w:rsidRPr="00E01B08" w:rsidRDefault="008C24EA" w:rsidP="00E01B08">
      <w:pPr>
        <w:tabs>
          <w:tab w:val="right" w:pos="9921"/>
        </w:tabs>
        <w:ind w:right="142"/>
        <w:jc w:val="center"/>
        <w:rPr>
          <w:rFonts w:ascii="Source Sans Pro" w:eastAsia="Noto Sans HK Light" w:hAnsi="Source Sans Pro" w:cs="Noto Sans"/>
          <w:b/>
          <w:sz w:val="22"/>
          <w:szCs w:val="22"/>
        </w:rPr>
      </w:pPr>
    </w:p>
    <w:p w14:paraId="02DE84E9" w14:textId="77777777" w:rsidR="00E01B08" w:rsidRDefault="00E01B08" w:rsidP="00E01B08">
      <w:pPr>
        <w:tabs>
          <w:tab w:val="right" w:pos="9921"/>
        </w:tabs>
        <w:ind w:right="142"/>
        <w:jc w:val="both"/>
        <w:rPr>
          <w:rFonts w:ascii="Source Sans Pro" w:eastAsia="Noto Sans HK Light" w:hAnsi="Source Sans Pro" w:cs="Noto Sans"/>
          <w:b/>
          <w:sz w:val="22"/>
          <w:szCs w:val="22"/>
          <w:u w:val="single"/>
        </w:rPr>
      </w:pPr>
    </w:p>
    <w:p w14:paraId="2D9D9A84" w14:textId="77777777" w:rsidR="00E01B08" w:rsidRDefault="00E01B08" w:rsidP="00E01B08">
      <w:pPr>
        <w:tabs>
          <w:tab w:val="right" w:pos="9921"/>
        </w:tabs>
        <w:ind w:right="142"/>
        <w:jc w:val="both"/>
        <w:rPr>
          <w:rFonts w:ascii="Source Sans Pro" w:eastAsia="Noto Sans HK Light" w:hAnsi="Source Sans Pro" w:cs="Noto Sans"/>
          <w:b/>
          <w:sz w:val="22"/>
          <w:szCs w:val="22"/>
          <w:u w:val="single"/>
        </w:rPr>
      </w:pPr>
    </w:p>
    <w:sectPr w:rsidR="00E01B0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FCF8" w14:textId="77777777" w:rsidR="00E01B08" w:rsidRDefault="00E01B08" w:rsidP="00E01B08">
      <w:r>
        <w:separator/>
      </w:r>
    </w:p>
  </w:endnote>
  <w:endnote w:type="continuationSeparator" w:id="0">
    <w:p w14:paraId="52E26090" w14:textId="77777777" w:rsidR="00E01B08" w:rsidRDefault="00E01B08" w:rsidP="00E0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oto Sans HK Light">
    <w:altName w:val="Malgun Gothic Semilight"/>
    <w:panose1 w:val="00000000000000000000"/>
    <w:charset w:val="80"/>
    <w:family w:val="swiss"/>
    <w:notTrueType/>
    <w:pitch w:val="variable"/>
    <w:sig w:usb0="20000287" w:usb1="2ADF3C10" w:usb2="00000016" w:usb3="00000000" w:csb0="00120107"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73F" w14:textId="77777777" w:rsidR="0016429D" w:rsidRDefault="0016429D">
    <w:pPr>
      <w:pStyle w:val="Piedepgina"/>
    </w:pPr>
  </w:p>
  <w:p w14:paraId="00A59A15" w14:textId="77777777" w:rsidR="0016429D" w:rsidRPr="00AD570B" w:rsidRDefault="0016429D" w:rsidP="0016429D">
    <w:pPr>
      <w:widowControl/>
      <w:tabs>
        <w:tab w:val="center" w:pos="4252"/>
        <w:tab w:val="right" w:pos="8504"/>
      </w:tabs>
      <w:rPr>
        <w:rFonts w:ascii="Source Sans Pro" w:hAnsi="Source Sans Pro"/>
        <w:i/>
        <w:iCs/>
        <w:snapToGrid/>
        <w:color w:val="008000"/>
        <w:sz w:val="18"/>
        <w:szCs w:val="18"/>
      </w:rPr>
    </w:pPr>
    <w:r w:rsidRPr="00AD570B">
      <w:rPr>
        <w:rFonts w:ascii="Source Sans Pro" w:hAnsi="Source Sans Pro"/>
        <w:i/>
        <w:iCs/>
        <w:snapToGrid/>
        <w:color w:val="008000"/>
        <w:sz w:val="18"/>
        <w:szCs w:val="18"/>
      </w:rPr>
      <w:t>Central Provincial de Compras de Jaén</w:t>
    </w:r>
  </w:p>
  <w:p w14:paraId="6C14C1F6" w14:textId="77777777" w:rsidR="0016429D" w:rsidRPr="00AD570B" w:rsidRDefault="0016429D" w:rsidP="0016429D">
    <w:pPr>
      <w:widowControl/>
      <w:tabs>
        <w:tab w:val="center" w:pos="4252"/>
        <w:tab w:val="right" w:pos="8504"/>
      </w:tabs>
      <w:rPr>
        <w:rFonts w:ascii="Source Sans Pro" w:hAnsi="Source Sans Pro"/>
        <w:i/>
        <w:iCs/>
        <w:snapToGrid/>
        <w:color w:val="008000"/>
        <w:sz w:val="18"/>
        <w:szCs w:val="18"/>
      </w:rPr>
    </w:pPr>
    <w:r w:rsidRPr="00AD570B">
      <w:rPr>
        <w:rFonts w:ascii="Source Sans Pro" w:hAnsi="Source Sans Pro"/>
        <w:i/>
        <w:iCs/>
        <w:snapToGrid/>
        <w:color w:val="008000"/>
        <w:sz w:val="18"/>
        <w:szCs w:val="18"/>
      </w:rPr>
      <w:t xml:space="preserve">Hospital </w:t>
    </w:r>
    <w:r w:rsidRPr="00AD570B">
      <w:rPr>
        <w:rFonts w:ascii="Source Sans Pro" w:hAnsi="Source Sans Pro"/>
        <w:i/>
        <w:iCs/>
        <w:snapToGrid/>
        <w:color w:val="538135" w:themeColor="accent6" w:themeShade="BF"/>
        <w:sz w:val="18"/>
        <w:szCs w:val="18"/>
      </w:rPr>
      <w:t>Universi</w:t>
    </w:r>
    <w:r w:rsidRPr="00AD570B">
      <w:rPr>
        <w:rFonts w:ascii="Source Sans Pro" w:hAnsi="Source Sans Pro"/>
        <w:i/>
        <w:iCs/>
        <w:snapToGrid/>
        <w:color w:val="008000"/>
        <w:sz w:val="18"/>
        <w:szCs w:val="18"/>
      </w:rPr>
      <w:t>tario de Jaén</w:t>
    </w:r>
  </w:p>
  <w:p w14:paraId="7361EC42" w14:textId="77777777" w:rsidR="0016429D" w:rsidRPr="00AD570B" w:rsidRDefault="0016429D" w:rsidP="0016429D">
    <w:pPr>
      <w:widowControl/>
      <w:tabs>
        <w:tab w:val="center" w:pos="4252"/>
        <w:tab w:val="right" w:pos="8504"/>
      </w:tabs>
      <w:rPr>
        <w:rFonts w:ascii="Times New Roman" w:hAnsi="Times New Roman"/>
        <w:snapToGrid/>
        <w:sz w:val="18"/>
        <w:szCs w:val="18"/>
      </w:rPr>
    </w:pPr>
    <w:r w:rsidRPr="00AD570B">
      <w:rPr>
        <w:rFonts w:ascii="Source Sans Pro" w:hAnsi="Source Sans Pro"/>
        <w:i/>
        <w:iCs/>
        <w:snapToGrid/>
        <w:color w:val="008000"/>
        <w:sz w:val="18"/>
        <w:szCs w:val="18"/>
      </w:rPr>
      <w:t>Avda. Ejército Español, 10. c.p.23007 Jaén</w:t>
    </w:r>
  </w:p>
  <w:p w14:paraId="0EB188F4" w14:textId="77777777" w:rsidR="0016429D" w:rsidRDefault="001642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49CD" w14:textId="77777777" w:rsidR="00E01B08" w:rsidRDefault="00E01B08" w:rsidP="00E01B08">
      <w:r>
        <w:separator/>
      </w:r>
    </w:p>
  </w:footnote>
  <w:footnote w:type="continuationSeparator" w:id="0">
    <w:p w14:paraId="7A8EBF21" w14:textId="77777777" w:rsidR="00E01B08" w:rsidRDefault="00E01B08" w:rsidP="00E0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6FBF" w14:textId="77777777" w:rsidR="00E01B08" w:rsidRDefault="00E01B08">
    <w:pPr>
      <w:pStyle w:val="Encabezado"/>
    </w:pPr>
  </w:p>
  <w:p w14:paraId="1EDFD3F2" w14:textId="77777777" w:rsidR="00E01B08" w:rsidRDefault="00E01B08">
    <w:pPr>
      <w:pStyle w:val="Encabezado"/>
    </w:pPr>
    <w:r w:rsidRPr="00DB0342">
      <w:rPr>
        <w:rFonts w:ascii="Calibri" w:eastAsia="Calibri" w:hAnsi="Calibri"/>
        <w:noProof/>
      </w:rPr>
      <w:drawing>
        <wp:anchor distT="0" distB="0" distL="114300" distR="114300" simplePos="0" relativeHeight="251659264" behindDoc="1" locked="0" layoutInCell="1" allowOverlap="1" wp14:anchorId="02909789" wp14:editId="00121A12">
          <wp:simplePos x="0" y="0"/>
          <wp:positionH relativeFrom="margin">
            <wp:align>left</wp:align>
          </wp:positionH>
          <wp:positionV relativeFrom="paragraph">
            <wp:posOffset>9552</wp:posOffset>
          </wp:positionV>
          <wp:extent cx="2047875" cy="657225"/>
          <wp:effectExtent l="0" t="0" r="9525" b="9525"/>
          <wp:wrapTight wrapText="bothSides">
            <wp:wrapPolygon edited="0">
              <wp:start x="0" y="0"/>
              <wp:lineTo x="0" y="21287"/>
              <wp:lineTo x="21500" y="21287"/>
              <wp:lineTo x="2150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3999" r="8000"/>
                  <a:stretch>
                    <a:fillRect/>
                  </a:stretch>
                </pic:blipFill>
                <pic:spPr bwMode="auto">
                  <a:xfrm>
                    <a:off x="0" y="0"/>
                    <a:ext cx="2047875" cy="657225"/>
                  </a:xfrm>
                  <a:prstGeom prst="rect">
                    <a:avLst/>
                  </a:prstGeom>
                  <a:noFill/>
                  <a:ln>
                    <a:noFill/>
                  </a:ln>
                </pic:spPr>
              </pic:pic>
            </a:graphicData>
          </a:graphic>
        </wp:anchor>
      </w:drawing>
    </w:r>
  </w:p>
  <w:p w14:paraId="0BD2B16D" w14:textId="77777777" w:rsidR="00E01B08" w:rsidRDefault="00E01B08">
    <w:pPr>
      <w:pStyle w:val="Encabezado"/>
    </w:pPr>
  </w:p>
  <w:p w14:paraId="2CED5327" w14:textId="77777777" w:rsidR="00E01B08" w:rsidRDefault="00E01B08" w:rsidP="00E01B08">
    <w:pPr>
      <w:pStyle w:val="Encabezado"/>
      <w:jc w:val="right"/>
    </w:pPr>
    <w:r w:rsidRPr="00AD5D65">
      <w:rPr>
        <w:rFonts w:ascii="Source Sans Pro" w:eastAsia="Noto Sans HK Light" w:hAnsi="Source Sans Pro"/>
        <w:color w:val="3A9664"/>
        <w:sz w:val="16"/>
        <w:szCs w:val="16"/>
      </w:rPr>
      <w:t>CENTRAL PROVINCIAL DE COMPRAS DE JAÉN</w:t>
    </w:r>
  </w:p>
  <w:p w14:paraId="279BCD9F" w14:textId="77777777" w:rsidR="00E01B08" w:rsidRDefault="00E01B08">
    <w:pPr>
      <w:pStyle w:val="Encabezado"/>
    </w:pPr>
  </w:p>
  <w:p w14:paraId="1F2C070F" w14:textId="77777777" w:rsidR="00E01B08" w:rsidRDefault="00E01B08">
    <w:pPr>
      <w:pStyle w:val="Encabezado"/>
    </w:pPr>
  </w:p>
  <w:p w14:paraId="77178A0F" w14:textId="77777777" w:rsidR="00E01B08" w:rsidRDefault="00E01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175"/>
    <w:multiLevelType w:val="hybridMultilevel"/>
    <w:tmpl w:val="3C969902"/>
    <w:lvl w:ilvl="0" w:tplc="914EDB2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9B1125"/>
    <w:multiLevelType w:val="hybridMultilevel"/>
    <w:tmpl w:val="241A4098"/>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24018A"/>
    <w:multiLevelType w:val="hybridMultilevel"/>
    <w:tmpl w:val="5CB607B2"/>
    <w:lvl w:ilvl="0" w:tplc="DD3CE874">
      <w:start w:val="1"/>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08"/>
    <w:rsid w:val="0011109F"/>
    <w:rsid w:val="0016429D"/>
    <w:rsid w:val="00176A50"/>
    <w:rsid w:val="00211B90"/>
    <w:rsid w:val="004F3DF3"/>
    <w:rsid w:val="006B64BF"/>
    <w:rsid w:val="008320CE"/>
    <w:rsid w:val="008C24EA"/>
    <w:rsid w:val="00CA71FF"/>
    <w:rsid w:val="00D01F38"/>
    <w:rsid w:val="00E01B08"/>
    <w:rsid w:val="00F61A10"/>
    <w:rsid w:val="00FA0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B6C3"/>
  <w15:chartTrackingRefBased/>
  <w15:docId w15:val="{BA0D9266-B03F-4301-9286-B9839878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08"/>
    <w:pPr>
      <w:widowControl w:val="0"/>
      <w:spacing w:after="0" w:line="240" w:lineRule="auto"/>
    </w:pPr>
    <w:rPr>
      <w:rFonts w:ascii="Courier New" w:eastAsia="Times New Roman" w:hAnsi="Courier Ne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1B08"/>
    <w:pPr>
      <w:tabs>
        <w:tab w:val="center" w:pos="4252"/>
        <w:tab w:val="right" w:pos="8504"/>
      </w:tabs>
    </w:pPr>
  </w:style>
  <w:style w:type="character" w:customStyle="1" w:styleId="EncabezadoCar">
    <w:name w:val="Encabezado Car"/>
    <w:basedOn w:val="Fuentedeprrafopredeter"/>
    <w:link w:val="Encabezado"/>
    <w:uiPriority w:val="99"/>
    <w:rsid w:val="00E01B08"/>
    <w:rPr>
      <w:rFonts w:ascii="Courier New" w:eastAsia="Times New Roman" w:hAnsi="Courier New" w:cs="Times New Roman"/>
      <w:snapToGrid w:val="0"/>
      <w:sz w:val="24"/>
      <w:szCs w:val="20"/>
      <w:lang w:eastAsia="es-ES"/>
    </w:rPr>
  </w:style>
  <w:style w:type="paragraph" w:styleId="Piedepgina">
    <w:name w:val="footer"/>
    <w:basedOn w:val="Normal"/>
    <w:link w:val="PiedepginaCar"/>
    <w:uiPriority w:val="99"/>
    <w:unhideWhenUsed/>
    <w:rsid w:val="00E01B08"/>
    <w:pPr>
      <w:tabs>
        <w:tab w:val="center" w:pos="4252"/>
        <w:tab w:val="right" w:pos="8504"/>
      </w:tabs>
    </w:pPr>
  </w:style>
  <w:style w:type="character" w:customStyle="1" w:styleId="PiedepginaCar">
    <w:name w:val="Pie de página Car"/>
    <w:basedOn w:val="Fuentedeprrafopredeter"/>
    <w:link w:val="Piedepgina"/>
    <w:uiPriority w:val="99"/>
    <w:rsid w:val="00E01B08"/>
    <w:rPr>
      <w:rFonts w:ascii="Courier New" w:eastAsia="Times New Roman" w:hAnsi="Courier New" w:cs="Times New Roman"/>
      <w:snapToGrid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Servicio Andaluz de Salud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De La Riva, Jose</dc:creator>
  <cp:keywords/>
  <dc:description/>
  <cp:lastModifiedBy>Pantoja Carmona, Josefa</cp:lastModifiedBy>
  <cp:revision>10</cp:revision>
  <dcterms:created xsi:type="dcterms:W3CDTF">2023-06-28T07:31:00Z</dcterms:created>
  <dcterms:modified xsi:type="dcterms:W3CDTF">2024-06-17T08:55:00Z</dcterms:modified>
</cp:coreProperties>
</file>