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B4" w:rsidRDefault="004E60B8">
      <w:pPr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58775" cy="706848"/>
                <wp:effectExtent l="0" t="0" r="0" b="0"/>
                <wp:docPr id="5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t="19968" b="24700"/>
                        <a:stretch/>
                      </pic:blipFill>
                      <pic:spPr bwMode="auto">
                        <a:xfrm>
                          <a:off x="0" y="0"/>
                          <a:ext cx="2258775" cy="70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77.9pt;height:55.7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209888" cy="585730"/>
                <wp:effectExtent l="0" t="0" r="0" b="0"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209887" cy="585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74.0pt;height:46.1pt;" stroked="false">
                <v:path textboxrect="0,0,0,0"/>
                <v:imagedata r:id="rId16" o:title=""/>
              </v:shape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805477" cy="683800"/>
                <wp:effectExtent l="9525" t="9525" r="9525" b="9525"/>
                <wp:docPr id="7" name="Imagen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19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805474" cy="683797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63.4pt;height:53.8pt;" strokecolor="#000000" strokeweight="0.75pt">
                <v:path textboxrect="0,0,0,0"/>
                <v:imagedata r:id="rId18" o:title=""/>
              </v:shape>
            </w:pict>
          </mc:Fallback>
        </mc:AlternateContent>
      </w:r>
    </w:p>
    <w:p w:rsidR="003662B4" w:rsidRDefault="003662B4">
      <w:pPr>
        <w:pStyle w:val="Ttulo"/>
        <w:rPr>
          <w:sz w:val="21"/>
          <w:szCs w:val="21"/>
        </w:rPr>
      </w:pPr>
    </w:p>
    <w:p w:rsidR="003662B4" w:rsidRDefault="004E60B8">
      <w:pPr>
        <w:pStyle w:val="Ttulo"/>
        <w:rPr>
          <w:sz w:val="21"/>
          <w:szCs w:val="21"/>
        </w:rPr>
      </w:pPr>
      <w:r>
        <w:rPr>
          <w:sz w:val="21"/>
          <w:szCs w:val="21"/>
        </w:rPr>
        <w:t>INSTRUCCIONES RELATIVAS A LA DOCUMENTACIÓN COMPLEMENTARIA</w:t>
      </w:r>
    </w:p>
    <w:p w:rsidR="003662B4" w:rsidRDefault="004E60B8">
      <w:pPr>
        <w:pStyle w:val="Textoindependiente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093470" cy="590550"/>
                <wp:effectExtent l="0" t="0" r="0" b="0"/>
                <wp:docPr id="8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6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093468" cy="590547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86.1pt;height:46.5pt;" strokecolor="#000000" strokeweight="0.75pt">
                <v:path textboxrect="0,0,0,0"/>
                <v:imagedata r:id="rId20" o:title=""/>
              </v:shape>
            </w:pict>
          </mc:Fallback>
        </mc:AlternateContent>
      </w:r>
    </w:p>
    <w:p w:rsidR="003662B4" w:rsidRDefault="003662B4">
      <w:pPr>
        <w:pStyle w:val="Textoindependiente"/>
      </w:pPr>
    </w:p>
    <w:p w:rsidR="003662B4" w:rsidRDefault="004E60B8">
      <w:r>
        <w:t>La documentación complementaria relativa a la Contratación de suministro, instalación, puesta en marcha, operación y mantenimiento de una solución de conectividad wifi y localización de interiores en edificios de la Junta de Andalucía es la siguiente:</w:t>
      </w:r>
    </w:p>
    <w:p w:rsidR="003662B4" w:rsidRDefault="003662B4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527"/>
        <w:gridCol w:w="1559"/>
      </w:tblGrid>
      <w:tr w:rsidR="003662B4" w:rsidTr="00E14744">
        <w:trPr>
          <w:cantSplit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center"/>
              <w:rPr>
                <w:rFonts w:ascii="Open Sans" w:eastAsia="Open Sans" w:hAnsi="Open Sans" w:cs="Open Sans"/>
                <w:b/>
                <w:bCs/>
                <w:sz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</w:rPr>
              <w:t>DOCUMENTO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center"/>
              <w:rPr>
                <w:rFonts w:ascii="Open Sans" w:eastAsia="Open Sans" w:hAnsi="Open Sans" w:cs="Open Sans"/>
                <w:b/>
                <w:bCs/>
                <w:sz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</w:rPr>
              <w:t>FICHERO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center"/>
              <w:rPr>
                <w:rFonts w:ascii="Open Sans" w:eastAsia="Open Sans" w:hAnsi="Open Sans" w:cs="Open Sans"/>
                <w:b/>
                <w:bCs/>
                <w:sz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</w:rPr>
              <w:t>UBICACIÓN</w:t>
            </w:r>
          </w:p>
        </w:tc>
      </w:tr>
      <w:tr w:rsidR="003662B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MEMORIA JUSTIFICATIVA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Memoria justificativa_WIFI.pdf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PLIEGO DE CLÁUSULAS ADMINISTRATIVAS PARTICULARES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PCAP_WIFI.pdf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FORMULARIO DE PROPOSICIÓN ECONÓMICA DEL LOTE 1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ProposicionEconomica_wifi_Lote1.xlsx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FORMULARIO DE PROPOSICIÓN ECONÓMICA DEL LOTE 2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ProposicionEconomica_wifi_Lote2.xlsx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MODELO DE DECLARACIÓN DE CONFIDENCIALIDAD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ModeloDeclaracionConfidencialidad.docx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DECLARACIÓN DE CUMPLIMIENTO DE LOS REQUISITOS MÍNIMOS TÉCNICOS DEL LOTE 1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DeclaracionCumplimientoRequisitosTécnicosL1.xlsx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DECLARACIÓN DE CUMPLIMIENTO DE LOS REQUISITOS MÍNIMOS TÉCNICOS DEL LOTE 2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DeclaracionCumplimientoRequisitosTécnicosL2.xlsx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EJEMPLOS INFORMES DE REPLANTEO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Incluye tres propuestas de informe de replanteo:</w:t>
            </w:r>
          </w:p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Informe de replanteo_1.docx</w:t>
            </w:r>
          </w:p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Informe de replanteo_2.docx</w:t>
            </w:r>
          </w:p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Informe de replanteo_3.docx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3662B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PLIEGO DE PRESCRIPCIONES TÉCNICAS DEL LOTE 1 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PPT_Lote1_WIFI.pdf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  <w:sz w:val="20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DETALLE DE LA SOLUCIÓN ACTUAL WIFI LOTE 1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PPT_LOTE_1_ANEXO_I.DETALLE_SOLUCIÓN_ACTUAL_WIFI.docx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DETALLEDE LAS SEDES DEL LOTE 1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PPT_LOTE_1_ANEXO_II.DETALLE_DETALLE_SEDES_DEL_LOTE_1.xlsx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DETALLE PASARELA SMS LOTE 1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PPT_LOTE_1_ANEXO_III.DETALLE_PASARELA_SMS.docx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ANEXOS DE MODELOS DE PLANTILLA DE DOCUMENTACIÓN A PRESENTAR DURANTE EL DESPLIEGUE DE LA SOLUCIÓN LOTE 1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PPT_LOTE_1_ANEXO_</w:t>
            </w:r>
            <w:proofErr w:type="gramStart"/>
            <w:r>
              <w:rPr>
                <w:rFonts w:ascii="Open Sans" w:eastAsia="Open Sans" w:hAnsi="Open Sans" w:cs="Open Sans"/>
              </w:rPr>
              <w:t>IV.MODELOS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DE PLANTILLA DE DOCUMENTACIÓN A PRESENTAR DURANTE EL DESPLIEGUE DE LA SOLUCIÓN.zip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3662B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PROCEDIMIENTO DE INVENTARIADO DE BIENES INFORMÁTICOS DE LA JUNTA DE ANDALUCÍA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PPT_LOTE_1_ANEXO_</w:t>
            </w:r>
            <w:proofErr w:type="gramStart"/>
            <w:r>
              <w:rPr>
                <w:rFonts w:ascii="Open Sans" w:eastAsia="Open Sans" w:hAnsi="Open Sans" w:cs="Open Sans"/>
              </w:rPr>
              <w:t>V.PROCEDIMIENTO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DE INVENTARIADO DE BIENES INFORMÁTICOS DE LA JUNTA DE ANDALUCÍA.pdf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2B4" w:rsidRDefault="004E60B8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trHeight w:val="379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DETALLE</w:t>
            </w:r>
            <w:r>
              <w:rPr>
                <w:rFonts w:ascii="Open Sans" w:eastAsia="Open Sans" w:hAnsi="Open Sans" w:cs="Open Sans"/>
              </w:rPr>
              <w:t xml:space="preserve">S ADICIONALES </w:t>
            </w:r>
            <w:r>
              <w:rPr>
                <w:rFonts w:ascii="Open Sans" w:eastAsia="Open Sans" w:hAnsi="Open Sans" w:cs="Open Sans"/>
              </w:rPr>
              <w:t>DE LAS SEDES DEL LOTE 1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PPT_LOTE_1_ANEXO</w:t>
            </w:r>
            <w:r>
              <w:rPr>
                <w:rFonts w:ascii="Open Sans" w:eastAsia="Open Sans" w:hAnsi="Open Sans" w:cs="Open Sans"/>
              </w:rPr>
              <w:t>_VI</w:t>
            </w:r>
            <w:r>
              <w:rPr>
                <w:rFonts w:ascii="Open Sans" w:eastAsia="Open Sans" w:hAnsi="Open Sans" w:cs="Open Sans"/>
              </w:rPr>
              <w:t>I.DETALLE</w:t>
            </w:r>
            <w:r>
              <w:rPr>
                <w:rFonts w:ascii="Open Sans" w:eastAsia="Open Sans" w:hAnsi="Open Sans" w:cs="Open Sans"/>
              </w:rPr>
              <w:t>S_ADICIONALES</w:t>
            </w:r>
            <w:r>
              <w:rPr>
                <w:rFonts w:ascii="Open Sans" w:eastAsia="Open Sans" w:hAnsi="Open Sans" w:cs="Open Sans"/>
              </w:rPr>
              <w:t>_SEDES_DEL_LOTE_1.xlsx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PLIEGO DE PRESCRIPCIONES TÉCNICAS DEL LOTE 2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PPT_Lote2_WIFI.pdf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PERFIL DEL CONTRATANTE</w:t>
            </w:r>
          </w:p>
        </w:tc>
      </w:tr>
      <w:tr w:rsidR="00E14744" w:rsidTr="00E14744">
        <w:trPr>
          <w:trHeight w:val="379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DETALLE DE LA SOLUCIÓN ACTUAL WIFI LOTE 2</w:t>
            </w:r>
          </w:p>
        </w:tc>
        <w:tc>
          <w:tcPr>
            <w:tcW w:w="55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PPT_LOTE_2_ANEXO_I.DETALLE_SOLUCIÓN_ACTUAL_WIFI.docx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DETALLEDE LAS SEDES DEL LOTE 2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PPT_LOTE_2_ANEXO_II.DETALLE_DETALLE_SEDES_DEL_LOTE_1.xlsx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ANEXO DETALLE PASARELA SMS LOTE 2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PPT_LOTE_2_ANEXO_III.DETALLE_PASARELA_SMS.docx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cantSplit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ANEXOS DE MODELOS DE PLANTILLA DE DOCUMENTACIÓN A PRESENTAR DURANTE EL DESPLIEGUE DE LA SOLUCIÓN LOTE 2</w:t>
            </w: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PPT_LOTE_2_ANEXO_</w:t>
            </w:r>
            <w:proofErr w:type="gramStart"/>
            <w:r>
              <w:rPr>
                <w:rFonts w:ascii="Open Sans" w:eastAsia="Open Sans" w:hAnsi="Open Sans" w:cs="Open Sans"/>
              </w:rPr>
              <w:t>IV.MODELOS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DE PLANTILLA DE DOCUMENTACIÓN A PRESENTAR DURANTE EL DESPLIEGUE DE LA SOLUCIÓN.zip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trHeight w:val="37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ANEXO DE PROCEDIMIENTO DE INVENTARIADO DE BIENES INFORMÁTICOS DE LA JUNTA DE ANDALUCÍA LOTE 2</w:t>
            </w:r>
          </w:p>
        </w:tc>
        <w:tc>
          <w:tcPr>
            <w:tcW w:w="5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PPT_LOTE_2_ANEXO_</w:t>
            </w:r>
            <w:proofErr w:type="gramStart"/>
            <w:r>
              <w:rPr>
                <w:rFonts w:ascii="Open Sans" w:eastAsia="Open Sans" w:hAnsi="Open Sans" w:cs="Open Sans"/>
              </w:rPr>
              <w:t>V.PROCEDIMIENTO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DE INVENTARIADO DE BIENES INFORMÁTICO</w:t>
            </w:r>
            <w:bookmarkStart w:id="0" w:name="_GoBack"/>
            <w:bookmarkEnd w:id="0"/>
            <w:r>
              <w:rPr>
                <w:rFonts w:ascii="Open Sans" w:eastAsia="Open Sans" w:hAnsi="Open Sans" w:cs="Open Sans"/>
              </w:rPr>
              <w:t>S DE LA JUNTA DE ANDALUCÍA.pdf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  <w:tr w:rsidR="00E14744" w:rsidTr="00E14744">
        <w:trPr>
          <w:trHeight w:val="37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ANEXO DE DETALLES ADICIONALES DE LAS SEDES DEL LOTE </w:t>
            </w: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Standard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PPT_LOTE_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</w:rPr>
              <w:t>_ANEXO_VII.DETALLES_ADICIONALES_SEDES_DEL_LOTE_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</w:rPr>
              <w:t>.xlsx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744" w:rsidRDefault="00E14744" w:rsidP="00E14744">
            <w:pPr>
              <w:pStyle w:val="TableContents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0"/>
              </w:rPr>
              <w:t>BAJO DEMANDA</w:t>
            </w:r>
          </w:p>
        </w:tc>
      </w:tr>
    </w:tbl>
    <w:p w:rsidR="003662B4" w:rsidRDefault="003662B4"/>
    <w:p w:rsidR="003662B4" w:rsidRDefault="004E60B8">
      <w:r>
        <w:t xml:space="preserve">Aquella documentación “BAJO DEMANDA” deberá ser solicitada mediante la cumplimentación del </w:t>
      </w:r>
      <w:r>
        <w:rPr>
          <w:b/>
          <w:bCs/>
        </w:rPr>
        <w:t>modelo de declaración de confidencialidad</w:t>
      </w:r>
      <w:r>
        <w:t>, por aquellos licitadores interesados en el mismo; será reenviado a la dirección de correo electrónico siguiente, escaneado y debidamente firmado:</w:t>
      </w:r>
    </w:p>
    <w:p w:rsidR="003662B4" w:rsidRDefault="003662B4"/>
    <w:p w:rsidR="003662B4" w:rsidRDefault="004E60B8">
      <w:pPr>
        <w:jc w:val="center"/>
      </w:pPr>
      <w:r w:rsidRPr="004E60B8">
        <w:t>telecom.dged.ada@juntadeandalucia.es</w:t>
      </w:r>
    </w:p>
    <w:sectPr w:rsidR="003662B4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93" w:right="1134" w:bottom="1408" w:left="1417" w:header="850" w:footer="567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C8B" w:rsidRDefault="00CE0C8B">
      <w:r>
        <w:separator/>
      </w:r>
    </w:p>
  </w:endnote>
  <w:endnote w:type="continuationSeparator" w:id="0">
    <w:p w:rsidR="00CE0C8B" w:rsidRDefault="00C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Eras Bk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B4" w:rsidRDefault="004E60B8">
    <w:pPr>
      <w:pStyle w:val="OFIpiepgina"/>
      <w:tabs>
        <w:tab w:val="clear" w:pos="9297"/>
        <w:tab w:val="right" w:pos="9637"/>
      </w:tabs>
    </w:pPr>
    <w:r>
      <w:tab/>
    </w:r>
    <w:r>
      <w:rPr>
        <w:rStyle w:val="Nmerodepgina"/>
      </w:rPr>
      <w:tab/>
    </w:r>
    <w:r>
      <w:rPr>
        <w:rStyle w:val="Nmerodepgina"/>
        <w:color w:val="auto"/>
      </w:rPr>
      <w:t xml:space="preserve">Página </w:t>
    </w:r>
    <w:r>
      <w:rPr>
        <w:rStyle w:val="Nmerodepgina"/>
        <w:color w:val="auto"/>
      </w:rPr>
      <w:fldChar w:fldCharType="begin"/>
    </w:r>
    <w:r>
      <w:rPr>
        <w:rStyle w:val="Nmerodepgina"/>
        <w:color w:val="auto"/>
      </w:rPr>
      <w:instrText xml:space="preserve"> PAGE </w:instrText>
    </w:r>
    <w:r>
      <w:rPr>
        <w:rStyle w:val="Nmerodepgina"/>
        <w:color w:val="auto"/>
      </w:rPr>
      <w:fldChar w:fldCharType="separate"/>
    </w:r>
    <w:r>
      <w:rPr>
        <w:rStyle w:val="Nmerodepgina"/>
        <w:color w:val="auto"/>
      </w:rPr>
      <w:t>6</w:t>
    </w:r>
    <w:r>
      <w:rPr>
        <w:rStyle w:val="Nmerodepgina"/>
        <w:color w:val="auto"/>
      </w:rPr>
      <w:fldChar w:fldCharType="end"/>
    </w:r>
    <w:r>
      <w:rPr>
        <w:rStyle w:val="Nmerodepgina"/>
        <w:color w:val="auto"/>
      </w:rPr>
      <w:t xml:space="preserve"> de </w:t>
    </w:r>
    <w:r>
      <w:rPr>
        <w:rStyle w:val="Nmerodepgina"/>
        <w:color w:val="auto"/>
      </w:rPr>
      <w:fldChar w:fldCharType="begin"/>
    </w:r>
    <w:r>
      <w:rPr>
        <w:rStyle w:val="Nmerodepgina"/>
        <w:color w:val="auto"/>
      </w:rPr>
      <w:instrText xml:space="preserve"> NUMPAGES </w:instrText>
    </w:r>
    <w:r>
      <w:rPr>
        <w:rStyle w:val="Nmerodepgina"/>
        <w:color w:val="auto"/>
      </w:rPr>
      <w:fldChar w:fldCharType="separate"/>
    </w:r>
    <w:r>
      <w:rPr>
        <w:rStyle w:val="Nmerodepgina"/>
        <w:color w:val="auto"/>
      </w:rPr>
      <w:t>6</w:t>
    </w:r>
    <w:r>
      <w:rPr>
        <w:rStyle w:val="Nmerodepgina"/>
        <w:color w:val="auto"/>
      </w:rPr>
      <w:fldChar w:fldCharType="end"/>
    </w:r>
    <w:r>
      <w:rPr>
        <w:rStyle w:val="Nmerodepgina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B4" w:rsidRDefault="003662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C8B" w:rsidRDefault="00CE0C8B">
      <w:r>
        <w:separator/>
      </w:r>
    </w:p>
  </w:footnote>
  <w:footnote w:type="continuationSeparator" w:id="0">
    <w:p w:rsidR="00CE0C8B" w:rsidRDefault="00CE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B4" w:rsidRDefault="004E60B8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-54000</wp:posOffset>
              </wp:positionH>
              <wp:positionV relativeFrom="paragraph">
                <wp:posOffset>-9000</wp:posOffset>
              </wp:positionV>
              <wp:extent cx="539640" cy="478800"/>
              <wp:effectExtent l="0" t="0" r="0" b="0"/>
              <wp:wrapSquare wrapText="bothSides"/>
              <wp:docPr id="1" name="Imagen1"/>
              <wp:cNvGraphicFramePr>
                <a:graphicFrameLocks xmlns:a="http://schemas.openxmlformats.org/drawingml/2006/main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"/>
                      <pic:cNvPicPr>
                        <a:picLocks noMove="1" noResize="1"/>
                      </pic:cNvPicPr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539640" cy="47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4.3pt;mso-position-horizontal:absolute;mso-position-vertical-relative:text;margin-top:-0.7pt;mso-position-vertical:absolute;width:42.5pt;height:37.7pt;" stroked="false">
              <v:path textboxrect="0,0,0,0"/>
              <v:imagedata r:id="rId2" o:title=""/>
            </v:shape>
          </w:pict>
        </mc:Fallback>
      </mc:AlternateContent>
    </w:r>
    <w:r>
      <w:t xml:space="preserve">                     </w:t>
    </w:r>
    <w:r>
      <w:rPr>
        <w:noProof/>
      </w:rPr>
      <mc:AlternateContent>
        <mc:Choice Requires="wpg">
          <w:drawing>
            <wp:inline distT="0" distB="0" distL="0" distR="0">
              <wp:extent cx="1764835" cy="485049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64833" cy="4850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39.0pt;height:38.2pt;rotation:0;" stroked="false">
              <v:path textboxrect="0,0,0,0"/>
              <v:imagedata r:id="rId4" o:title=""/>
            </v:shape>
          </w:pict>
        </mc:Fallback>
      </mc:AlternateContent>
    </w:r>
    <w:r>
      <w:t xml:space="preserve">                     </w:t>
    </w:r>
  </w:p>
  <w:p w:rsidR="003662B4" w:rsidRDefault="004E60B8">
    <w:pPr>
      <w:rPr>
        <w:sz w:val="18"/>
        <w:szCs w:val="18"/>
      </w:rPr>
    </w:pPr>
    <w:r>
      <w:t xml:space="preserve">                              </w:t>
    </w:r>
  </w:p>
  <w:p w:rsidR="003662B4" w:rsidRDefault="004E60B8">
    <w:pPr>
      <w:pStyle w:val="Encabezado"/>
      <w:rPr>
        <w:sz w:val="18"/>
        <w:szCs w:val="18"/>
      </w:rPr>
    </w:pPr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B4" w:rsidRDefault="004E60B8">
    <w:r>
      <w:rPr>
        <w:noProof/>
      </w:rPr>
      <mc:AlternateContent>
        <mc:Choice Requires="wpg">
          <w:drawing>
            <wp:anchor distT="0" distB="0" distL="0" distR="0" simplePos="0" relativeHeight="12288" behindDoc="1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-339090</wp:posOffset>
              </wp:positionV>
              <wp:extent cx="1104265" cy="667385"/>
              <wp:effectExtent l="0" t="0" r="0" b="0"/>
              <wp:wrapSquare wrapText="bothSides"/>
              <wp:docPr id="3" name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04264" cy="667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-12288;o:allowoverlap:true;o:allowincell:true;mso-position-horizontal-relative:text;margin-left:-22.0pt;mso-position-horizontal:absolute;mso-position-vertical-relative:text;margin-top:-26.7pt;mso-position-vertical:absolute;width:87.0pt;height:52.5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14336" behindDoc="1" locked="0" layoutInCell="1" allowOverlap="1">
              <wp:simplePos x="0" y="0"/>
              <wp:positionH relativeFrom="column">
                <wp:posOffset>3874770</wp:posOffset>
              </wp:positionH>
              <wp:positionV relativeFrom="page">
                <wp:posOffset>294281</wp:posOffset>
              </wp:positionV>
              <wp:extent cx="2346960" cy="572135"/>
              <wp:effectExtent l="0" t="0" r="0" b="0"/>
              <wp:wrapTopAndBottom/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346959" cy="572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3662B4" w:rsidRDefault="004E60B8">
                          <w:pPr>
                            <w:pStyle w:val="Cabecera-Consejera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Consejería de la Presidencia, Administración Pública e Interior</w:t>
                          </w:r>
                        </w:p>
                        <w:p w:rsidR="003662B4" w:rsidRDefault="004E60B8">
                          <w:pPr>
                            <w:pStyle w:val="Cabecera-Centrodirectivo"/>
                          </w:pPr>
                          <w:proofErr w:type="spellStart"/>
                          <w:r>
                            <w:t>Agencia</w:t>
                          </w:r>
                          <w:proofErr w:type="spellEnd"/>
                          <w:r>
                            <w:t xml:space="preserve"> Digital de Andalucía</w:t>
                          </w:r>
                        </w:p>
                        <w:p w:rsidR="003662B4" w:rsidRDefault="003662B4">
                          <w:pPr>
                            <w:pStyle w:val="Cabecera-Centrodirectivo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3" o:spid="_x0000_s3" o:spt="1" style="position:absolute;mso-wrap-distance-left:0.0pt;mso-wrap-distance-top:0.0pt;mso-wrap-distance-right:0.0pt;mso-wrap-distance-bottom:0.0pt;z-index:-14336;o:allowoverlap:true;o:allowincell:true;mso-position-horizontal-relative:text;margin-left:305.1pt;mso-position-horizontal:absolute;mso-position-vertical-relative:page;margin-top:23.2pt;mso-position-vertical:absolute;width:184.8pt;height:45.0pt;v-text-anchor:middle;" coordsize="100000,100000" path="" filled="f" stroked="f">
              <v:path textboxrect="0,0,0,0"/>
              <w10:wrap type="topAndBottom"/>
              <v:textbox>
                <w:txbxContent>
                  <w:p>
                    <w:pPr>
                      <w:pStyle w:val="994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Consejería de la Presidencia, Administración Pública e Interior</w:t>
                    </w:r>
                    <w:r/>
                  </w:p>
                  <w:p>
                    <w:pPr>
                      <w:pStyle w:val="995"/>
                    </w:pPr>
                    <w:r>
                      <w:t xml:space="preserve">Agencia</w:t>
                    </w:r>
                    <w:r>
                      <w:t xml:space="preserve"> Digital de Andalucía</w:t>
                    </w:r>
                    <w:r/>
                  </w:p>
                  <w:p>
                    <w:pPr>
                      <w:pStyle w:val="995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  <w:p w:rsidR="003662B4" w:rsidRDefault="00366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175"/>
    <w:multiLevelType w:val="multilevel"/>
    <w:tmpl w:val="21120ACE"/>
    <w:lvl w:ilvl="0">
      <w:start w:val="1"/>
      <w:numFmt w:val="decimal"/>
      <w:pStyle w:val="Ttulo1"/>
      <w:suff w:val="nothing"/>
      <w:lvlText w:val="%1. "/>
      <w:lvlJc w:val="left"/>
      <w:pPr>
        <w:ind w:left="360" w:firstLine="0"/>
      </w:pPr>
      <w:rPr>
        <w:i w:val="0"/>
      </w:rPr>
    </w:lvl>
    <w:lvl w:ilvl="1">
      <w:start w:val="1"/>
      <w:numFmt w:val="decimal"/>
      <w:suff w:val="nothing"/>
      <w:lvlText w:val="%1.%2. "/>
      <w:lvlJc w:val="left"/>
      <w:pPr>
        <w:ind w:left="360" w:firstLine="0"/>
      </w:pPr>
    </w:lvl>
    <w:lvl w:ilvl="2">
      <w:start w:val="1"/>
      <w:numFmt w:val="decimal"/>
      <w:suff w:val="nothing"/>
      <w:lvlText w:val="%1.%2.%3. "/>
      <w:lvlJc w:val="left"/>
      <w:pPr>
        <w:ind w:left="360" w:firstLine="0"/>
      </w:pPr>
    </w:lvl>
    <w:lvl w:ilvl="3">
      <w:start w:val="1"/>
      <w:numFmt w:val="decimal"/>
      <w:pStyle w:val="Ttulo4"/>
      <w:suff w:val="nothing"/>
      <w:lvlText w:val="%1.%2.%3.%4. "/>
      <w:lvlJc w:val="left"/>
      <w:pPr>
        <w:ind w:left="360" w:firstLine="0"/>
      </w:pPr>
    </w:lvl>
    <w:lvl w:ilvl="4">
      <w:start w:val="1"/>
      <w:numFmt w:val="decimal"/>
      <w:pStyle w:val="Ttulo5"/>
      <w:suff w:val="nothing"/>
      <w:lvlText w:val="%1.%2.%3.%4.%5. "/>
      <w:lvlJc w:val="left"/>
      <w:pPr>
        <w:ind w:left="360" w:firstLine="0"/>
      </w:pPr>
    </w:lvl>
    <w:lvl w:ilvl="5">
      <w:start w:val="1"/>
      <w:numFmt w:val="decimal"/>
      <w:pStyle w:val="Ttulo6"/>
      <w:suff w:val="nothing"/>
      <w:lvlText w:val="%1.%2.%3.%4.%5.%6. "/>
      <w:lvlJc w:val="left"/>
      <w:pPr>
        <w:ind w:left="360" w:firstLine="0"/>
      </w:pPr>
    </w:lvl>
    <w:lvl w:ilvl="6">
      <w:start w:val="1"/>
      <w:numFmt w:val="decimal"/>
      <w:pStyle w:val="Ttulo7"/>
      <w:suff w:val="nothing"/>
      <w:lvlText w:val="%1.%2.%3.%4.%5.%6.%7. "/>
      <w:lvlJc w:val="left"/>
      <w:pPr>
        <w:ind w:left="360" w:firstLine="0"/>
      </w:pPr>
    </w:lvl>
    <w:lvl w:ilvl="7">
      <w:start w:val="1"/>
      <w:numFmt w:val="decimal"/>
      <w:pStyle w:val="Ttulo8"/>
      <w:suff w:val="nothing"/>
      <w:lvlText w:val="%1.%2.%3.%4.%5.%6.%7.%8. "/>
      <w:lvlJc w:val="left"/>
      <w:pPr>
        <w:ind w:left="360" w:firstLine="0"/>
      </w:pPr>
    </w:lvl>
    <w:lvl w:ilvl="8">
      <w:start w:val="1"/>
      <w:numFmt w:val="decimal"/>
      <w:pStyle w:val="Ttulo9"/>
      <w:suff w:val="nothing"/>
      <w:lvlText w:val="%1.%2.%3.%4.%5.%6.%7.%8.%9. 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B4"/>
    <w:rsid w:val="003662B4"/>
    <w:rsid w:val="004E60B8"/>
    <w:rsid w:val="00530AB7"/>
    <w:rsid w:val="00CE0C8B"/>
    <w:rsid w:val="00E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69B8"/>
  <w15:docId w15:val="{2405D47C-E65E-4704-84F4-A55CBD0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3"/>
      <w:jc w:val="both"/>
    </w:pPr>
    <w:rPr>
      <w:rFonts w:ascii="Open Sans" w:eastAsia="Open Sans" w:hAnsi="Open Sans" w:cs="Open Sans"/>
      <w:sz w:val="21"/>
      <w:szCs w:val="21"/>
    </w:rPr>
  </w:style>
  <w:style w:type="paragraph" w:styleId="Ttulo1">
    <w:name w:val="heading 1"/>
    <w:basedOn w:val="Normal"/>
    <w:next w:val="Textoindependiente"/>
    <w:link w:val="Ttulo1Car"/>
    <w:qFormat/>
    <w:pPr>
      <w:numPr>
        <w:numId w:val="1"/>
      </w:numPr>
      <w:ind w:left="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Textoindependiente"/>
    <w:link w:val="Ttulo2Car"/>
    <w:qFormat/>
    <w:pPr>
      <w:outlineLvl w:val="1"/>
    </w:pPr>
    <w:rPr>
      <w:b/>
      <w:bCs/>
      <w:sz w:val="28"/>
      <w:szCs w:val="32"/>
    </w:rPr>
  </w:style>
  <w:style w:type="paragraph" w:styleId="Ttulo3">
    <w:name w:val="heading 3"/>
    <w:basedOn w:val="Normal"/>
    <w:next w:val="Textoindependiente"/>
    <w:link w:val="Ttulo3Car"/>
    <w:qFormat/>
    <w:pPr>
      <w:spacing w:before="140" w:after="120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Textoindependiente"/>
    <w:link w:val="Ttulo4Car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Normal"/>
    <w:next w:val="Textoindependiente"/>
    <w:link w:val="Ttulo5Ca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Textoindependiente"/>
    <w:link w:val="Ttulo6Car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Normal"/>
    <w:next w:val="Textoindependiente"/>
    <w:link w:val="Ttulo7Car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Textoindependiente"/>
    <w:link w:val="Ttulo8Car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Normal"/>
    <w:next w:val="Textoindependiente"/>
    <w:link w:val="Ttulo9Car"/>
    <w:qFormat/>
    <w:pPr>
      <w:numPr>
        <w:ilvl w:val="8"/>
        <w:numId w:val="1"/>
      </w:numPr>
      <w:spacing w:before="60" w:after="60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link w:val="Ttulo1"/>
    <w:rPr>
      <w:rFonts w:ascii="Open Sans" w:eastAsia="Open Sans" w:hAnsi="Open Sans" w:cs="Open Sans"/>
      <w:b/>
      <w:bCs/>
      <w:sz w:val="36"/>
      <w:szCs w:val="36"/>
    </w:rPr>
  </w:style>
  <w:style w:type="character" w:customStyle="1" w:styleId="Ttulo2Car">
    <w:name w:val="Título 2 Car"/>
    <w:link w:val="Ttulo2"/>
    <w:rPr>
      <w:rFonts w:ascii="Open Sans" w:eastAsia="Open Sans" w:hAnsi="Open Sans" w:cs="Open Sans"/>
      <w:b/>
      <w:bCs/>
      <w:sz w:val="28"/>
      <w:szCs w:val="32"/>
    </w:rPr>
  </w:style>
  <w:style w:type="character" w:customStyle="1" w:styleId="Ttulo3Car">
    <w:name w:val="Título 3 Car"/>
    <w:link w:val="Ttulo3"/>
    <w:rPr>
      <w:rFonts w:ascii="Open Sans" w:eastAsia="Open Sans" w:hAnsi="Open Sans" w:cs="Open Sans"/>
      <w:b/>
      <w:bCs/>
      <w:sz w:val="28"/>
      <w:szCs w:val="28"/>
    </w:rPr>
  </w:style>
  <w:style w:type="character" w:customStyle="1" w:styleId="Ttulo4Car">
    <w:name w:val="Título 4 Car"/>
    <w:link w:val="Ttulo4"/>
    <w:rPr>
      <w:rFonts w:ascii="Open Sans" w:eastAsia="Open Sans" w:hAnsi="Open Sans" w:cs="Open Sans"/>
      <w:b/>
      <w:bCs/>
      <w:i/>
      <w:iCs/>
      <w:sz w:val="27"/>
      <w:szCs w:val="27"/>
    </w:rPr>
  </w:style>
  <w:style w:type="character" w:customStyle="1" w:styleId="Ttulo5Car">
    <w:name w:val="Título 5 Car"/>
    <w:link w:val="Ttulo5"/>
    <w:rPr>
      <w:rFonts w:ascii="Open Sans" w:eastAsia="Open Sans" w:hAnsi="Open Sans" w:cs="Open Sans"/>
      <w:b/>
      <w:bCs/>
    </w:rPr>
  </w:style>
  <w:style w:type="character" w:customStyle="1" w:styleId="Ttulo6Car">
    <w:name w:val="Título 6 Car"/>
    <w:link w:val="Ttulo6"/>
    <w:rPr>
      <w:rFonts w:ascii="Open Sans" w:eastAsia="Open Sans" w:hAnsi="Open Sans" w:cs="Open Sans"/>
      <w:b/>
      <w:bCs/>
      <w:i/>
      <w:iCs/>
    </w:rPr>
  </w:style>
  <w:style w:type="character" w:customStyle="1" w:styleId="Ttulo7Car">
    <w:name w:val="Título 7 Car"/>
    <w:link w:val="Ttulo7"/>
    <w:rPr>
      <w:rFonts w:ascii="Open Sans" w:eastAsia="Open Sans" w:hAnsi="Open Sans" w:cs="Open Sans"/>
      <w:b/>
      <w:bCs/>
      <w:sz w:val="22"/>
      <w:szCs w:val="22"/>
    </w:rPr>
  </w:style>
  <w:style w:type="character" w:customStyle="1" w:styleId="Ttulo8Car">
    <w:name w:val="Título 8 Car"/>
    <w:link w:val="Ttulo8"/>
    <w:rPr>
      <w:rFonts w:ascii="Open Sans" w:eastAsia="Open Sans" w:hAnsi="Open Sans" w:cs="Open Sans"/>
      <w:b/>
      <w:bCs/>
      <w:i/>
      <w:iCs/>
      <w:sz w:val="22"/>
      <w:szCs w:val="22"/>
    </w:rPr>
  </w:style>
  <w:style w:type="character" w:customStyle="1" w:styleId="Ttulo9Car">
    <w:name w:val="Título 9 Car"/>
    <w:link w:val="Ttulo9"/>
    <w:rPr>
      <w:rFonts w:ascii="Open Sans" w:eastAsia="Open Sans" w:hAnsi="Open Sans" w:cs="Open Sans"/>
      <w:b/>
      <w:b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link w:val="Encabezado"/>
    <w:uiPriority w:val="99"/>
  </w:style>
  <w:style w:type="character" w:customStyle="1" w:styleId="FooterChar">
    <w:name w:val="Footer Char"/>
    <w:uiPriority w:val="99"/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anormal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anormal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anormal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aconcuadrcula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adecuadrcula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adecuadrcula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aconcuadrcula5o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laconcuadrcula6concolores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adelista5o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ladelista6concolores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es-ES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Nmerodepgina">
    <w:name w:val="page number"/>
    <w:basedOn w:val="Fuentedeprrafopredeter"/>
  </w:style>
  <w:style w:type="character" w:customStyle="1" w:styleId="Smbolosdenumeracin">
    <w:name w:val="Símbolos de numeración"/>
    <w:qFormat/>
  </w:style>
  <w:style w:type="character" w:customStyle="1" w:styleId="Muydestacado">
    <w:name w:val="Muy destacado"/>
    <w:qFormat/>
    <w:rPr>
      <w:rFonts w:ascii="Open Sans" w:hAnsi="Open Sans"/>
      <w:b/>
      <w:bCs w:val="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paragraph" w:styleId="Ttulo">
    <w:name w:val="Title"/>
    <w:basedOn w:val="Normal"/>
    <w:next w:val="Textoindependiente"/>
    <w:link w:val="TtuloCar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rPr>
      <w:rFonts w:ascii="NewsGotT" w:hAnsi="NewsGotT"/>
      <w:lang w:eastAsia="es-ES"/>
    </w:rPr>
  </w:style>
  <w:style w:type="paragraph" w:styleId="Remitedesobre">
    <w:name w:val="envelope return"/>
    <w:basedOn w:val="LO-Normal"/>
    <w:qFormat/>
    <w:pPr>
      <w:keepLines/>
      <w:widowControl w:val="0"/>
      <w:spacing w:line="199" w:lineRule="auto"/>
      <w:ind w:right="-120"/>
    </w:pPr>
    <w:rPr>
      <w:rFonts w:ascii="Times New Roman" w:hAnsi="Times New Roman"/>
      <w:sz w:val="16"/>
    </w:rPr>
  </w:style>
  <w:style w:type="paragraph" w:customStyle="1" w:styleId="OFIcabeceraconsejera">
    <w:name w:val="OFI_cabecera_consejería"/>
    <w:basedOn w:val="Remitedesobre"/>
    <w:qFormat/>
    <w:rPr>
      <w:rFonts w:ascii="Eras Bk BT" w:hAnsi="Eras Bk BT"/>
      <w:bCs/>
      <w:color w:val="008000"/>
      <w:sz w:val="22"/>
      <w:szCs w:val="22"/>
    </w:rPr>
  </w:style>
  <w:style w:type="paragraph" w:customStyle="1" w:styleId="NRIpiepgina">
    <w:name w:val="NRI_pie_página"/>
    <w:basedOn w:val="LO-Normal"/>
    <w:qFormat/>
    <w:pPr>
      <w:tabs>
        <w:tab w:val="left" w:pos="1134"/>
        <w:tab w:val="right" w:pos="9214"/>
      </w:tabs>
    </w:pPr>
    <w:rPr>
      <w:rFonts w:ascii="Eras Bk BT" w:hAnsi="Eras Bk BT"/>
      <w:color w:val="008000"/>
      <w:sz w:val="16"/>
      <w:szCs w:val="16"/>
      <w:lang w:eastAsia="en-US"/>
    </w:rPr>
  </w:style>
  <w:style w:type="paragraph" w:customStyle="1" w:styleId="OFIpiepgina">
    <w:name w:val="OFI_pie_página"/>
    <w:basedOn w:val="NRIpiepgina"/>
    <w:qFormat/>
    <w:pPr>
      <w:tabs>
        <w:tab w:val="clear" w:pos="1134"/>
        <w:tab w:val="clear" w:pos="9214"/>
        <w:tab w:val="left" w:pos="2273"/>
        <w:tab w:val="right" w:pos="9297"/>
      </w:tabs>
    </w:pPr>
  </w:style>
  <w:style w:type="paragraph" w:customStyle="1" w:styleId="Contenidodelmarco">
    <w:name w:val="Contenido del marco"/>
    <w:basedOn w:val="Normal"/>
    <w:qFormat/>
  </w:style>
  <w:style w:type="paragraph" w:styleId="Subttulo">
    <w:name w:val="Subtitle"/>
    <w:basedOn w:val="Normal"/>
    <w:next w:val="Textoindependiente"/>
    <w:link w:val="SubttuloCar"/>
    <w:qFormat/>
    <w:pPr>
      <w:spacing w:before="60" w:after="120"/>
      <w:jc w:val="center"/>
    </w:pPr>
    <w:rPr>
      <w:sz w:val="36"/>
      <w:szCs w:val="36"/>
    </w:rPr>
  </w:style>
  <w:style w:type="paragraph" w:customStyle="1" w:styleId="Textopreformateado">
    <w:name w:val="Texto preformateado"/>
    <w:basedOn w:val="Normal"/>
    <w:qFormat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10">
    <w:name w:val="Título 10"/>
    <w:basedOn w:val="Normal"/>
    <w:next w:val="Textoindependiente"/>
    <w:qFormat/>
    <w:pPr>
      <w:spacing w:before="60" w:after="60"/>
      <w:ind w:left="360"/>
      <w:outlineLvl w:val="8"/>
    </w:pPr>
    <w:rPr>
      <w:b/>
      <w:bCs/>
    </w:rPr>
  </w:style>
  <w:style w:type="paragraph" w:styleId="Textonotapie">
    <w:name w:val="footnote text"/>
    <w:basedOn w:val="Normal"/>
    <w:link w:val="TextonotapieCar"/>
    <w:pPr>
      <w:suppressLineNumbers/>
      <w:ind w:left="339" w:hanging="339"/>
    </w:pPr>
    <w:rPr>
      <w:sz w:val="20"/>
      <w:szCs w:val="20"/>
    </w:rPr>
  </w:style>
  <w:style w:type="paragraph" w:customStyle="1" w:styleId="PrrafoNivel1">
    <w:name w:val="Párrafo Nivel 1"/>
    <w:basedOn w:val="Normal"/>
    <w:qFormat/>
    <w:pPr>
      <w:spacing w:before="120" w:after="0" w:line="240" w:lineRule="atLeast"/>
    </w:pPr>
  </w:style>
  <w:style w:type="paragraph" w:styleId="Ttulodendice">
    <w:name w:val="index heading"/>
    <w:basedOn w:val="Normal"/>
    <w:pPr>
      <w:suppressLineNumbers/>
    </w:pPr>
    <w:rPr>
      <w:b/>
      <w:bCs/>
      <w:sz w:val="32"/>
      <w:szCs w:val="32"/>
    </w:rPr>
  </w:style>
  <w:style w:type="paragraph" w:styleId="Encabezadodelista">
    <w:name w:val="toa heading"/>
    <w:basedOn w:val="Normal"/>
    <w:pPr>
      <w:suppressLineNumbers/>
    </w:pPr>
    <w:rPr>
      <w:b/>
      <w:bCs/>
      <w:sz w:val="32"/>
      <w:szCs w:val="32"/>
    </w:rPr>
  </w:style>
  <w:style w:type="paragraph" w:styleId="TDC1">
    <w:name w:val="toc 1"/>
    <w:basedOn w:val="ndice"/>
    <w:pPr>
      <w:tabs>
        <w:tab w:val="right" w:leader="dot" w:pos="9355"/>
      </w:tabs>
    </w:pPr>
  </w:style>
  <w:style w:type="paragraph" w:styleId="TDC2">
    <w:name w:val="toc 2"/>
    <w:basedOn w:val="ndice"/>
    <w:pPr>
      <w:tabs>
        <w:tab w:val="right" w:leader="dot" w:pos="9072"/>
      </w:tabs>
      <w:ind w:left="283"/>
    </w:pPr>
  </w:style>
  <w:style w:type="paragraph" w:styleId="TDC3">
    <w:name w:val="toc 3"/>
    <w:basedOn w:val="ndice"/>
    <w:pPr>
      <w:tabs>
        <w:tab w:val="right" w:leader="dot" w:pos="8789"/>
      </w:tabs>
      <w:ind w:left="566"/>
    </w:pPr>
  </w:style>
  <w:style w:type="numbering" w:customStyle="1" w:styleId="Numbering1">
    <w:name w:val="Numbering 1"/>
    <w:qFormat/>
  </w:style>
  <w:style w:type="paragraph" w:customStyle="1" w:styleId="Ttulo11">
    <w:name w:val="Título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76" w:lineRule="auto"/>
      <w:jc w:val="center"/>
    </w:pPr>
    <w:rPr>
      <w:rFonts w:ascii="NewsGotT" w:hAnsi="NewsGotT"/>
      <w:b/>
      <w:bCs/>
      <w:sz w:val="56"/>
      <w:szCs w:val="56"/>
      <w:lang w:val="en-US" w:eastAsia="en-US" w:bidi="ar-SA"/>
    </w:rPr>
  </w:style>
  <w:style w:type="paragraph" w:customStyle="1" w:styleId="Cabecera-Consejera">
    <w:name w:val="Cabecera - Consejería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val="en-US" w:eastAsia="en-US" w:bidi="ar-SA"/>
    </w:rPr>
  </w:style>
  <w:style w:type="paragraph" w:customStyle="1" w:styleId="Cabecera-Centrodirectivo">
    <w:name w:val="Cabecera - Centro directivo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83"/>
    </w:pPr>
    <w:rPr>
      <w:rFonts w:ascii="Source Sans Pro" w:eastAsia="Noto Sans HK" w:hAnsi="Source Sans Pro" w:cs="Source Sans Pro"/>
      <w:sz w:val="18"/>
      <w:szCs w:val="16"/>
      <w:lang w:val="en-US" w:eastAsia="en-US" w:bidi="ar-SA"/>
    </w:rPr>
  </w:style>
  <w:style w:type="paragraph" w:customStyle="1" w:styleId="Textbody">
    <w:name w:val="Text body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  <w:jc w:val="both"/>
    </w:pPr>
    <w:rPr>
      <w:rFonts w:ascii="NewsGotT" w:eastAsia="Arial" w:hAnsi="NewsGotT" w:cs="NewsGotT"/>
      <w:sz w:val="22"/>
      <w:szCs w:val="22"/>
      <w:lang w:val="en-US" w:eastAsia="en-US" w:bidi="ar-SA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13"/>
      <w:jc w:val="both"/>
    </w:pPr>
    <w:rPr>
      <w:rFonts w:ascii="NewsGotT" w:eastAsia="Times New Roman" w:hAnsi="NewsGotT" w:cs="NewsGotT"/>
      <w:sz w:val="20"/>
      <w:szCs w:val="20"/>
      <w:lang w:eastAsia="es-ES" w:bidi="ar-SA"/>
    </w:rPr>
  </w:style>
  <w:style w:type="paragraph" w:customStyle="1" w:styleId="TableContents">
    <w:name w:val="Table Contents"/>
    <w:basedOn w:val="Standard"/>
    <w:pPr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8.jp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Sanz</dc:creator>
  <dc:description/>
  <cp:lastModifiedBy>LUIS EDUARDO MARTINEZ GENS</cp:lastModifiedBy>
  <cp:revision>16</cp:revision>
  <dcterms:created xsi:type="dcterms:W3CDTF">2021-10-29T06:04:00Z</dcterms:created>
  <dcterms:modified xsi:type="dcterms:W3CDTF">2022-04-22T16:41:00Z</dcterms:modified>
  <dc:language>es-ES</dc:language>
</cp:coreProperties>
</file>