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11" w:rsidRDefault="006C14C0">
      <w:pPr>
        <w:pStyle w:val="Default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>
        <w:rPr>
          <w:rFonts w:ascii="Source Sans Pro" w:hAnsi="Source Sans Pro"/>
          <w:b/>
          <w:bCs/>
          <w:sz w:val="21"/>
          <w:szCs w:val="21"/>
        </w:rPr>
        <w:t>ANEXO IV.B</w:t>
      </w:r>
    </w:p>
    <w:p w:rsidR="00176A11" w:rsidRDefault="006C14C0">
      <w:pPr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Modelos de declaración</w:t>
      </w:r>
      <w:r>
        <w:rPr>
          <w:rFonts w:ascii="Source Sans Pro" w:hAnsi="Source Sans Pro"/>
          <w:sz w:val="21"/>
          <w:szCs w:val="21"/>
        </w:rPr>
        <w:t xml:space="preserve"> </w:t>
      </w:r>
    </w:p>
    <w:p w:rsidR="00176A11" w:rsidRDefault="006C14C0">
      <w:pPr>
        <w:jc w:val="center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</w:t>
      </w:r>
      <w:r>
        <w:rPr>
          <w:rFonts w:ascii="Source Sans Pro" w:hAnsi="Source Sans Pro"/>
          <w:i/>
          <w:iCs/>
          <w:sz w:val="21"/>
          <w:szCs w:val="21"/>
        </w:rPr>
        <w:t xml:space="preserve"> ejecución de actuaciones del plan de recuperación, transformación y resiliencia (PRTR)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</w:t>
      </w:r>
      <w:r>
        <w:rPr>
          <w:rFonts w:ascii="Source Sans Pro" w:hAnsi="Source Sans Pro"/>
          <w:sz w:val="21"/>
          <w:szCs w:val="21"/>
        </w:rPr>
        <w:t xml:space="preserve"> ………………………………………………………………………………………………………………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beneficiaria de ayudas financiadas con recursos provenientes del PRTR/ que participa como contratista/subcontratista en el desarrollo de actuaciones necesarias para la consecución de los objetivos definidos en el</w:t>
      </w:r>
      <w:r>
        <w:rPr>
          <w:rFonts w:ascii="Source Sans Pro" w:hAnsi="Source Sans Pro"/>
          <w:sz w:val="21"/>
          <w:szCs w:val="21"/>
        </w:rPr>
        <w:t xml:space="preserve"> Componente 24 «Revalorización industria cultural», declara conocer la normativa que es de aplicación, en particular las siguientes apartados del artículo 22, del Reglamento (UE) 2021/241 del Parlamento Europeo y del Consejo, de 12 de febrero de 2021, por </w:t>
      </w:r>
      <w:r>
        <w:rPr>
          <w:rFonts w:ascii="Source Sans Pro" w:hAnsi="Source Sans Pro"/>
          <w:sz w:val="21"/>
          <w:szCs w:val="21"/>
        </w:rPr>
        <w:t>el que se establece el Mecanismo de Recuperación y Resiliencia: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</w:t>
      </w:r>
      <w:r>
        <w:rPr>
          <w:rFonts w:ascii="Source Sans Pro" w:hAnsi="Source Sans Pro"/>
          <w:sz w:val="21"/>
          <w:szCs w:val="21"/>
        </w:rPr>
        <w:t>co del plan de recuperación y resiliencia, en un formato electrónico que permita realizar búsquedas y en una base de datos única, las categorías armonizadas de datos siguientes: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i. El nombre del perceptor final de los fondos;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ii. el nombre del contratista </w:t>
      </w:r>
      <w:r>
        <w:rPr>
          <w:rFonts w:ascii="Source Sans Pro" w:hAnsi="Source Sans Pro"/>
          <w:sz w:val="21"/>
          <w:szCs w:val="21"/>
        </w:rPr>
        <w:t>y del subcontratista, cuando el perceptor final de los fondos sea un poder adjudicador de conformidad con el Derecho de la Unión o nacional en materia de contratación pública;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iii. los nombres, apellidos y fechas de nacimiento de los titulares reales del p</w:t>
      </w:r>
      <w:r>
        <w:rPr>
          <w:rFonts w:ascii="Source Sans Pro" w:hAnsi="Source Sans Pro"/>
          <w:sz w:val="21"/>
          <w:szCs w:val="21"/>
        </w:rPr>
        <w:t>erceptor de los fondos o del contratista, según se define en el artículo 3, punto 6, de la Directiva (UE) 2015/849 del Parlamento Europeo y del Consejo (26);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iv. una lista de medidas para la ejecución de reformas y proyectos de inversión en el marco del pl</w:t>
      </w:r>
      <w:r>
        <w:rPr>
          <w:rFonts w:ascii="Source Sans Pro" w:hAnsi="Source Sans Pro"/>
          <w:sz w:val="21"/>
          <w:szCs w:val="21"/>
        </w:rPr>
        <w:t>an de recuperación y resiliencia, junto con el importe total de la financiación pública de dichas medidas y que indique la cuantía de los fondos desembolsados en el marco del Mecanismo y de otros fondos de la Unión».</w:t>
      </w: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2. Apartado 3: «Los datos personales me</w:t>
      </w:r>
      <w:r>
        <w:rPr>
          <w:rFonts w:ascii="Source Sans Pro" w:hAnsi="Source Sans Pro"/>
          <w:sz w:val="21"/>
          <w:szCs w:val="21"/>
        </w:rPr>
        <w:t>ncionados en el apartado 2, letra d), del presente artículo solo serán tratados por los Estados miembros y por la Comisión a los efectos y duración de la correspondiente auditoría de la aprobación de la gestión presupuestaria y de los procedimientos de con</w:t>
      </w:r>
      <w:r>
        <w:rPr>
          <w:rFonts w:ascii="Source Sans Pro" w:hAnsi="Source Sans Pro"/>
          <w:sz w:val="21"/>
          <w:szCs w:val="21"/>
        </w:rPr>
        <w:t>trol relacionados con la utilización de los fondos relacionados con la aplicación de los acuerdos a que se refieren los artículos 15, apartado 2, y 23, apartado 1. En el marco del procedimiento de aprobación de la gestión de la Comisión, de conformidad con</w:t>
      </w:r>
      <w:r>
        <w:rPr>
          <w:rFonts w:ascii="Source Sans Pro" w:hAnsi="Source Sans Pro"/>
          <w:sz w:val="21"/>
          <w:szCs w:val="21"/>
        </w:rPr>
        <w:t xml:space="preserve"> el artículo 319 del TFUE, el Mecanismo estará sujeto a la presentación de informes en el marco de la información financiera y de rendición de cuentas integrada a que se refiere el artículo 247 del Reglamento Financiero y, en particular, por separado, en e</w:t>
      </w:r>
      <w:r>
        <w:rPr>
          <w:rFonts w:ascii="Source Sans Pro" w:hAnsi="Source Sans Pro"/>
          <w:sz w:val="21"/>
          <w:szCs w:val="21"/>
        </w:rPr>
        <w:t>l informe anual de gestión y rendimiento».</w:t>
      </w:r>
    </w:p>
    <w:p w:rsidR="00176A11" w:rsidRDefault="00176A11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176A11" w:rsidRDefault="006C14C0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:rsidR="00176A11" w:rsidRDefault="00176A11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176A11" w:rsidRDefault="006C14C0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……………………………...,  de   …………… de 202</w:t>
      </w:r>
    </w:p>
    <w:p w:rsidR="00176A11" w:rsidRDefault="006C14C0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 …………………………</w:t>
      </w:r>
      <w:r>
        <w:rPr>
          <w:rFonts w:ascii="Source Sans Pro" w:hAnsi="Source Sans Pro"/>
          <w:sz w:val="21"/>
          <w:szCs w:val="21"/>
        </w:rPr>
        <w:t>………………….</w:t>
      </w:r>
    </w:p>
    <w:p w:rsidR="00176A11" w:rsidRDefault="006C14C0">
      <w:pPr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176A1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11"/>
    <w:rsid w:val="00176A11"/>
    <w:rsid w:val="006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525619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525619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2023-10-19T08:16:00Z</dcterms:created>
  <dcterms:modified xsi:type="dcterms:W3CDTF">2023-10-19T08:16:00Z</dcterms:modified>
  <dc:language>es-ES</dc:language>
</cp:coreProperties>
</file>